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5" w:rsidRPr="009A4349" w:rsidRDefault="001E1795" w:rsidP="009A4349">
      <w:pPr>
        <w:ind w:firstLine="709"/>
        <w:jc w:val="right"/>
        <w:rPr>
          <w:rFonts w:ascii="Times New Roman" w:hAnsi="Times New Roman"/>
          <w:szCs w:val="24"/>
        </w:rPr>
      </w:pPr>
      <w:r w:rsidRPr="009A4349">
        <w:rPr>
          <w:rFonts w:ascii="Times New Roman" w:hAnsi="Times New Roman"/>
          <w:szCs w:val="24"/>
        </w:rPr>
        <w:t>Утверждена</w:t>
      </w:r>
    </w:p>
    <w:p w:rsidR="001E1795" w:rsidRPr="009A4349" w:rsidRDefault="001E1795" w:rsidP="009A4349">
      <w:pPr>
        <w:ind w:firstLine="709"/>
        <w:jc w:val="right"/>
        <w:rPr>
          <w:rFonts w:ascii="Times New Roman" w:hAnsi="Times New Roman"/>
          <w:szCs w:val="24"/>
        </w:rPr>
      </w:pPr>
      <w:r w:rsidRPr="009A4349">
        <w:rPr>
          <w:rFonts w:ascii="Times New Roman" w:hAnsi="Times New Roman"/>
          <w:szCs w:val="24"/>
        </w:rPr>
        <w:t>постановлением администрации</w:t>
      </w:r>
    </w:p>
    <w:p w:rsidR="001E1795" w:rsidRPr="009A4349" w:rsidRDefault="001E1795" w:rsidP="009A4349">
      <w:pPr>
        <w:ind w:firstLine="709"/>
        <w:jc w:val="right"/>
        <w:rPr>
          <w:rFonts w:ascii="Times New Roman" w:hAnsi="Times New Roman"/>
          <w:szCs w:val="24"/>
        </w:rPr>
      </w:pPr>
      <w:r w:rsidRPr="009A4349">
        <w:rPr>
          <w:rFonts w:ascii="Times New Roman" w:hAnsi="Times New Roman"/>
          <w:szCs w:val="24"/>
        </w:rPr>
        <w:t>Чебаркульского городского округа</w:t>
      </w:r>
    </w:p>
    <w:p w:rsidR="001E1795" w:rsidRPr="009A4349" w:rsidRDefault="00FF2779" w:rsidP="009A4349">
      <w:pPr>
        <w:ind w:firstLine="709"/>
        <w:jc w:val="right"/>
        <w:rPr>
          <w:rFonts w:ascii="Times New Roman" w:hAnsi="Times New Roman"/>
          <w:szCs w:val="24"/>
        </w:rPr>
      </w:pPr>
      <w:r w:rsidRPr="009A4349">
        <w:rPr>
          <w:rFonts w:ascii="Times New Roman" w:hAnsi="Times New Roman"/>
          <w:szCs w:val="24"/>
        </w:rPr>
        <w:t>от «____</w:t>
      </w:r>
      <w:r w:rsidR="001E1795" w:rsidRPr="009A4349">
        <w:rPr>
          <w:rFonts w:ascii="Times New Roman" w:hAnsi="Times New Roman"/>
          <w:szCs w:val="24"/>
        </w:rPr>
        <w:t>»</w:t>
      </w:r>
      <w:r w:rsidRPr="009A4349">
        <w:rPr>
          <w:rFonts w:ascii="Times New Roman" w:hAnsi="Times New Roman"/>
          <w:szCs w:val="24"/>
        </w:rPr>
        <w:t>__________</w:t>
      </w:r>
      <w:r w:rsidR="009A4349">
        <w:rPr>
          <w:rFonts w:ascii="Times New Roman" w:hAnsi="Times New Roman"/>
          <w:szCs w:val="24"/>
        </w:rPr>
        <w:t xml:space="preserve"> 2019г. №___</w:t>
      </w:r>
      <w:r w:rsidR="001E1795" w:rsidRPr="009A4349">
        <w:rPr>
          <w:rFonts w:ascii="Times New Roman" w:hAnsi="Times New Roman"/>
          <w:szCs w:val="24"/>
        </w:rPr>
        <w:t xml:space="preserve"> 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0052DE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«Медицинские кадры на территории Чебаркульского городского округа»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(далее программа)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E21BEB" w:rsidP="009A4349">
      <w:pPr>
        <w:pStyle w:val="3"/>
        <w:spacing w:line="240" w:lineRule="auto"/>
        <w:ind w:firstLine="709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Паспорт программы</w:t>
      </w:r>
    </w:p>
    <w:p w:rsidR="001E1795" w:rsidRPr="00E21BEB" w:rsidRDefault="001E1795" w:rsidP="009A4349">
      <w:pPr>
        <w:ind w:firstLine="709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2"/>
        <w:gridCol w:w="7369"/>
      </w:tblGrid>
      <w:tr w:rsidR="001E1795" w:rsidRPr="00E21BEB" w:rsidTr="00EA6D19">
        <w:trPr>
          <w:trHeight w:val="887"/>
        </w:trPr>
        <w:tc>
          <w:tcPr>
            <w:tcW w:w="2412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69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Администрация Чебаркульского городского округа</w:t>
            </w:r>
          </w:p>
        </w:tc>
      </w:tr>
      <w:tr w:rsidR="001E1795" w:rsidRPr="00E21BEB" w:rsidTr="00EA6D19">
        <w:trPr>
          <w:trHeight w:val="419"/>
        </w:trPr>
        <w:tc>
          <w:tcPr>
            <w:tcW w:w="2412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7369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1. Управление муниципальной собственности администрации Чебаркульского городского округа </w:t>
            </w:r>
          </w:p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2.</w:t>
            </w:r>
            <w:r w:rsidR="00F70D05">
              <w:rPr>
                <w:rFonts w:ascii="Times New Roman" w:hAnsi="Times New Roman"/>
                <w:szCs w:val="24"/>
              </w:rPr>
              <w:t xml:space="preserve"> </w:t>
            </w:r>
            <w:r w:rsidRPr="009A4349">
              <w:rPr>
                <w:rFonts w:ascii="Times New Roman" w:hAnsi="Times New Roman"/>
                <w:szCs w:val="24"/>
              </w:rPr>
              <w:t xml:space="preserve">Государственное бюджетное учреждение здравоохранения «Областная больница </w:t>
            </w:r>
            <w:proofErr w:type="gramStart"/>
            <w:r w:rsidRPr="009A4349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9A4349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  <w:tr w:rsidR="001E1795" w:rsidRPr="00E21BEB" w:rsidTr="00EA6D19">
        <w:trPr>
          <w:trHeight w:val="419"/>
        </w:trPr>
        <w:tc>
          <w:tcPr>
            <w:tcW w:w="2412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7369" w:type="dxa"/>
            <w:vAlign w:val="center"/>
          </w:tcPr>
          <w:p w:rsidR="001E1795" w:rsidRPr="009A4349" w:rsidRDefault="001E1795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Заместитель главы городского округа по социальным вопросам</w:t>
            </w:r>
          </w:p>
        </w:tc>
      </w:tr>
      <w:tr w:rsidR="00C02E07" w:rsidRPr="00E21BEB" w:rsidTr="00EA6D19">
        <w:trPr>
          <w:trHeight w:val="419"/>
        </w:trPr>
        <w:tc>
          <w:tcPr>
            <w:tcW w:w="2412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Основные цели 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Создание благоприятных условий для привлечения и закрепления медицинских работников для работы в ГБУЗ «Областная больница </w:t>
            </w:r>
            <w:proofErr w:type="gramStart"/>
            <w:r w:rsidRPr="009A4349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9A4349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  <w:tr w:rsidR="00C02E07" w:rsidRPr="00E21BEB" w:rsidTr="00EA6D19">
        <w:trPr>
          <w:trHeight w:val="419"/>
        </w:trPr>
        <w:tc>
          <w:tcPr>
            <w:tcW w:w="2412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Основные задачи 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49">
              <w:rPr>
                <w:rFonts w:ascii="Times New Roman" w:hAnsi="Times New Roman" w:cs="Times New Roman"/>
                <w:sz w:val="24"/>
                <w:szCs w:val="24"/>
              </w:rPr>
              <w:t>1)Социальная п</w:t>
            </w:r>
            <w:r w:rsidR="00FC1487">
              <w:rPr>
                <w:rFonts w:ascii="Times New Roman" w:hAnsi="Times New Roman" w:cs="Times New Roman"/>
                <w:sz w:val="24"/>
                <w:szCs w:val="24"/>
              </w:rPr>
              <w:t>оддержка медицинских работников</w:t>
            </w:r>
          </w:p>
          <w:p w:rsidR="00C02E07" w:rsidRPr="009A4349" w:rsidRDefault="00C02E07" w:rsidP="00FC14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49">
              <w:rPr>
                <w:rFonts w:ascii="Times New Roman" w:hAnsi="Times New Roman" w:cs="Times New Roman"/>
                <w:sz w:val="24"/>
                <w:szCs w:val="24"/>
              </w:rPr>
              <w:t>2)Повышение укомплектованности уч</w:t>
            </w:r>
            <w:r w:rsidR="00FC1487">
              <w:rPr>
                <w:rFonts w:ascii="Times New Roman" w:hAnsi="Times New Roman" w:cs="Times New Roman"/>
                <w:sz w:val="24"/>
                <w:szCs w:val="24"/>
              </w:rPr>
              <w:t>реждения медицинскими   кадрами</w:t>
            </w:r>
          </w:p>
          <w:p w:rsidR="00FC1487" w:rsidRPr="009A4349" w:rsidRDefault="00C02E07" w:rsidP="00FC14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349">
              <w:rPr>
                <w:rFonts w:ascii="Times New Roman" w:hAnsi="Times New Roman" w:cs="Times New Roman"/>
                <w:sz w:val="24"/>
                <w:szCs w:val="24"/>
              </w:rPr>
              <w:t>3)Привлечение  специалис</w:t>
            </w:r>
            <w:r w:rsidR="00FC1487">
              <w:rPr>
                <w:rFonts w:ascii="Times New Roman" w:hAnsi="Times New Roman" w:cs="Times New Roman"/>
                <w:sz w:val="24"/>
                <w:szCs w:val="24"/>
              </w:rPr>
              <w:t>тов с медицинским образованием</w:t>
            </w:r>
          </w:p>
          <w:p w:rsidR="00C02E07" w:rsidRPr="009A4349" w:rsidRDefault="00C02E07" w:rsidP="00FC14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07" w:rsidRPr="00E21BEB" w:rsidTr="00EA6D19">
        <w:tc>
          <w:tcPr>
            <w:tcW w:w="2412" w:type="dxa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2020-2022 гг.</w:t>
            </w:r>
          </w:p>
        </w:tc>
      </w:tr>
      <w:tr w:rsidR="00C02E07" w:rsidRPr="00E21BEB" w:rsidTr="00EA6D19">
        <w:tc>
          <w:tcPr>
            <w:tcW w:w="2412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Структура 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подпрограмм нет</w:t>
            </w:r>
          </w:p>
        </w:tc>
      </w:tr>
      <w:tr w:rsidR="00C02E07" w:rsidRPr="00E21BEB" w:rsidTr="00EA6D19">
        <w:tc>
          <w:tcPr>
            <w:tcW w:w="2412" w:type="dxa"/>
            <w:vAlign w:val="center"/>
          </w:tcPr>
          <w:p w:rsidR="00C02E07" w:rsidRPr="009A4349" w:rsidRDefault="00C02E07" w:rsidP="00FC1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Объемы бюджетных ассигнований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Общий объем финансирования на 2020-2022 гг. составляет 390,0 тыс. руб., в т.ч. за счет местного бюджета 300 000 руб., за счет внебюджетных средств 90 000 руб. 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По годам: </w:t>
            </w:r>
          </w:p>
          <w:p w:rsidR="00C02E07" w:rsidRPr="009A4349" w:rsidRDefault="00C02E07" w:rsidP="00FC1487">
            <w:pPr>
              <w:tabs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2020 год – 130 000 руб., в т. ч.:</w:t>
            </w:r>
          </w:p>
          <w:p w:rsidR="00C02E07" w:rsidRPr="009A4349" w:rsidRDefault="00C02E07" w:rsidP="00FC1487">
            <w:pPr>
              <w:tabs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местный бюджет 100 000 руб., </w:t>
            </w:r>
          </w:p>
          <w:p w:rsidR="00C02E07" w:rsidRPr="009A4349" w:rsidRDefault="00C02E07" w:rsidP="00FC1487">
            <w:pPr>
              <w:tabs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внебюджетные средства – 30 000 руб.;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2021 год – 130 000 руб., в т. ч.: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местный бюджет 100 000 руб., 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внебюджетные средства – 30 000 руб.;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2022 год – 130 000 руб., в т. ч.: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 xml:space="preserve">местный бюджет 100 000 руб., 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внебюджетные средства – 30 000 руб.</w:t>
            </w:r>
          </w:p>
        </w:tc>
      </w:tr>
      <w:tr w:rsidR="00C02E07" w:rsidRPr="00E21BEB" w:rsidTr="00EA6D19">
        <w:tc>
          <w:tcPr>
            <w:tcW w:w="2412" w:type="dxa"/>
            <w:vAlign w:val="center"/>
          </w:tcPr>
          <w:p w:rsidR="00C02E07" w:rsidRPr="009A4349" w:rsidRDefault="00C02E07" w:rsidP="00FC14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lastRenderedPageBreak/>
              <w:t>Показатели (индикаторы)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ind w:right="174"/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1) Количество предоставленных  жилых помещений на условиях коммерческого найма для привлекаемых на работу в ГБУЗ «Областная больница г</w:t>
            </w:r>
            <w:proofErr w:type="gramStart"/>
            <w:r w:rsidRPr="009A4349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9A4349">
              <w:rPr>
                <w:rFonts w:ascii="Times New Roman" w:hAnsi="Times New Roman"/>
                <w:szCs w:val="24"/>
              </w:rPr>
              <w:t>ебаркуль» специалистов с медицинским образованием.</w:t>
            </w:r>
          </w:p>
          <w:p w:rsidR="00C02E07" w:rsidRPr="009A4349" w:rsidRDefault="00C02E07" w:rsidP="00FC1487">
            <w:pPr>
              <w:ind w:right="174"/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2) Количество  специалистов с медицинским образованием, получивших подъемные.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3) Обеспеченность населения  специалистами с медицинским образованием.</w:t>
            </w:r>
          </w:p>
        </w:tc>
      </w:tr>
      <w:tr w:rsidR="00C02E07" w:rsidRPr="00E21BEB" w:rsidTr="00EA6D19">
        <w:tc>
          <w:tcPr>
            <w:tcW w:w="2412" w:type="dxa"/>
            <w:vAlign w:val="center"/>
          </w:tcPr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9" w:type="dxa"/>
            <w:vAlign w:val="center"/>
          </w:tcPr>
          <w:p w:rsidR="00C02E07" w:rsidRPr="009A4349" w:rsidRDefault="00C02E07" w:rsidP="00FC1487">
            <w:pPr>
              <w:ind w:right="174"/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1) Количество предоставленных  жилых помещений на условиях коммерческого найма для привлекаемых на работу в ГБУЗ «Областная больница г</w:t>
            </w:r>
            <w:proofErr w:type="gramStart"/>
            <w:r w:rsidRPr="009A4349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9A4349">
              <w:rPr>
                <w:rFonts w:ascii="Times New Roman" w:hAnsi="Times New Roman"/>
                <w:szCs w:val="24"/>
              </w:rPr>
              <w:t>ебаркуль» специалистов с медицинским образованием,  за период 2020-2022гг.- 4 жилых помещен</w:t>
            </w:r>
            <w:r w:rsidR="009A4349">
              <w:rPr>
                <w:rFonts w:ascii="Times New Roman" w:hAnsi="Times New Roman"/>
                <w:szCs w:val="24"/>
              </w:rPr>
              <w:t>ий (2020г.- 2, 2021г.-1, 2022г.–</w:t>
            </w:r>
            <w:r w:rsidRPr="009A4349">
              <w:rPr>
                <w:rFonts w:ascii="Times New Roman" w:hAnsi="Times New Roman"/>
                <w:szCs w:val="24"/>
              </w:rPr>
              <w:t>1)</w:t>
            </w:r>
          </w:p>
          <w:p w:rsidR="00C02E07" w:rsidRPr="009A4349" w:rsidRDefault="00C02E07" w:rsidP="00FC148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349">
              <w:rPr>
                <w:rFonts w:ascii="Times New Roman" w:hAnsi="Times New Roman" w:cs="Times New Roman"/>
                <w:sz w:val="24"/>
                <w:szCs w:val="24"/>
              </w:rPr>
              <w:t>2) Количество специалистов с медицинским образованием, получивших подъемные за период 2020-2022гг.</w:t>
            </w:r>
            <w:r w:rsidRPr="009A4349">
              <w:rPr>
                <w:rFonts w:ascii="Times New Roman" w:hAnsi="Times New Roman"/>
                <w:sz w:val="24"/>
                <w:szCs w:val="24"/>
              </w:rPr>
              <w:t>-  3 человека (2020г. – 1, 2021г.-1, 2022г-1).</w:t>
            </w:r>
          </w:p>
          <w:p w:rsidR="00C02E07" w:rsidRPr="009A4349" w:rsidRDefault="00C02E07" w:rsidP="00FC1487">
            <w:pPr>
              <w:jc w:val="both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3)  Обеспеченность населения врачами: 2020г. – 22,6; 2021г. -22,8, 2022г.- 23,0 чел. на 10 тыс. населения.</w:t>
            </w:r>
          </w:p>
        </w:tc>
      </w:tr>
    </w:tbl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A6D19" w:rsidRDefault="001E1795" w:rsidP="00EA6D19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EA6D19">
        <w:rPr>
          <w:rFonts w:ascii="Times New Roman" w:hAnsi="Times New Roman"/>
          <w:sz w:val="28"/>
          <w:szCs w:val="28"/>
        </w:rPr>
        <w:t>Содержание проблемы и обоснование  необходимости её решения программными методами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Повышение качества, доступности медицинской помощи и снижение дефицита медицинских кадров в настоящее время является одним из главных приоритетов общества и государства.  </w:t>
      </w:r>
    </w:p>
    <w:p w:rsidR="001E1795" w:rsidRPr="00E21BEB" w:rsidRDefault="001431B7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В соответствии с документами стратегического планирования Чебаркульского городского округа о</w:t>
      </w:r>
      <w:r w:rsidR="001E1795" w:rsidRPr="00E21BEB">
        <w:rPr>
          <w:rFonts w:ascii="Times New Roman" w:hAnsi="Times New Roman"/>
          <w:sz w:val="28"/>
          <w:szCs w:val="28"/>
        </w:rPr>
        <w:t xml:space="preserve">беспечение доступного и качественного оказания медицинских услуг,  является одним из  приоритетных направлений </w:t>
      </w:r>
      <w:r w:rsidRPr="00E21BEB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</w:t>
      </w:r>
      <w:r w:rsidR="001E1795" w:rsidRPr="00E21BEB">
        <w:rPr>
          <w:rFonts w:ascii="Times New Roman" w:hAnsi="Times New Roman"/>
          <w:sz w:val="28"/>
          <w:szCs w:val="28"/>
        </w:rPr>
        <w:t>и напрямую связано с проблемой снижения  дефицита  медицинских кадров</w:t>
      </w:r>
      <w:r w:rsidRPr="00E21BEB">
        <w:rPr>
          <w:rFonts w:ascii="Times New Roman" w:hAnsi="Times New Roman"/>
          <w:sz w:val="28"/>
          <w:szCs w:val="28"/>
        </w:rPr>
        <w:t>.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Медицинские кадры - одна из самых сложных и больших </w:t>
      </w:r>
      <w:proofErr w:type="gramStart"/>
      <w:r w:rsidRPr="00E21BEB">
        <w:rPr>
          <w:rFonts w:ascii="Times New Roman" w:hAnsi="Times New Roman"/>
          <w:sz w:val="28"/>
          <w:szCs w:val="28"/>
        </w:rPr>
        <w:t>проблем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 как российского здравоохранения, так и системы здравоохранения городского округа. Основанием для разработки программы является критическая ситуация с обеспечением системы здравоохранения Чебаркульского городского округа медицинскими кадрами.  В ГБУЗ «Областная больница г</w:t>
      </w:r>
      <w:proofErr w:type="gramStart"/>
      <w:r w:rsidRPr="00E21BEB">
        <w:rPr>
          <w:rFonts w:ascii="Times New Roman" w:hAnsi="Times New Roman"/>
          <w:sz w:val="28"/>
          <w:szCs w:val="28"/>
        </w:rPr>
        <w:t>.Ч</w:t>
      </w:r>
      <w:proofErr w:type="gramEnd"/>
      <w:r w:rsidRPr="00E21BEB">
        <w:rPr>
          <w:rFonts w:ascii="Times New Roman" w:hAnsi="Times New Roman"/>
          <w:sz w:val="28"/>
          <w:szCs w:val="28"/>
        </w:rPr>
        <w:t>ебаркуль»  обеспеченность врачами на 10 тысяч населения снизилась</w:t>
      </w:r>
      <w:r w:rsidR="000A3150" w:rsidRPr="00E21BEB">
        <w:rPr>
          <w:rFonts w:ascii="Times New Roman" w:hAnsi="Times New Roman"/>
          <w:sz w:val="28"/>
          <w:szCs w:val="28"/>
        </w:rPr>
        <w:t>. с 23,17 за 2015</w:t>
      </w:r>
      <w:r w:rsidRPr="00E21BEB">
        <w:rPr>
          <w:rFonts w:ascii="Times New Roman" w:hAnsi="Times New Roman"/>
          <w:sz w:val="28"/>
          <w:szCs w:val="28"/>
        </w:rPr>
        <w:t xml:space="preserve"> г</w:t>
      </w:r>
      <w:r w:rsidR="000A3150" w:rsidRPr="00E21BEB">
        <w:rPr>
          <w:rFonts w:ascii="Times New Roman" w:hAnsi="Times New Roman"/>
          <w:sz w:val="28"/>
          <w:szCs w:val="28"/>
        </w:rPr>
        <w:t xml:space="preserve"> до 21,5</w:t>
      </w:r>
      <w:r w:rsidR="00AD4606" w:rsidRPr="00E21BEB">
        <w:rPr>
          <w:rFonts w:ascii="Times New Roman" w:hAnsi="Times New Roman"/>
          <w:sz w:val="28"/>
          <w:szCs w:val="28"/>
        </w:rPr>
        <w:t xml:space="preserve"> за 2018</w:t>
      </w:r>
      <w:r w:rsidR="000A3150" w:rsidRPr="00E21BEB">
        <w:rPr>
          <w:rFonts w:ascii="Times New Roman" w:hAnsi="Times New Roman"/>
          <w:sz w:val="28"/>
          <w:szCs w:val="28"/>
        </w:rPr>
        <w:t xml:space="preserve"> год. 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В настоящее время в ГБУЗ «Областная больница г</w:t>
      </w:r>
      <w:proofErr w:type="gramStart"/>
      <w:r w:rsidRPr="00E21BEB">
        <w:rPr>
          <w:rFonts w:ascii="Times New Roman" w:hAnsi="Times New Roman"/>
          <w:sz w:val="28"/>
          <w:szCs w:val="28"/>
        </w:rPr>
        <w:t>.Ч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ебаркуль» на </w:t>
      </w:r>
      <w:r w:rsidR="00015CC5" w:rsidRPr="00E21BEB">
        <w:rPr>
          <w:rFonts w:ascii="Times New Roman" w:hAnsi="Times New Roman"/>
          <w:sz w:val="28"/>
          <w:szCs w:val="28"/>
        </w:rPr>
        <w:t>01.01.2019</w:t>
      </w:r>
      <w:r w:rsidR="009112BB" w:rsidRPr="00E21BEB">
        <w:rPr>
          <w:rFonts w:ascii="Times New Roman" w:hAnsi="Times New Roman"/>
          <w:sz w:val="28"/>
          <w:szCs w:val="28"/>
        </w:rPr>
        <w:t xml:space="preserve"> г. работает 767</w:t>
      </w:r>
      <w:r w:rsidRPr="00E21BEB">
        <w:rPr>
          <w:rFonts w:ascii="Times New Roman" w:hAnsi="Times New Roman"/>
          <w:sz w:val="28"/>
          <w:szCs w:val="28"/>
        </w:rPr>
        <w:t xml:space="preserve"> человек (без учета внешних </w:t>
      </w:r>
      <w:r w:rsidR="00CA6A9B" w:rsidRPr="00E21BEB">
        <w:rPr>
          <w:rFonts w:ascii="Times New Roman" w:hAnsi="Times New Roman"/>
          <w:sz w:val="28"/>
          <w:szCs w:val="28"/>
        </w:rPr>
        <w:t>совместителей). Число врачей  95</w:t>
      </w:r>
      <w:r w:rsidRPr="00E21BEB">
        <w:rPr>
          <w:rFonts w:ascii="Times New Roman" w:hAnsi="Times New Roman"/>
          <w:sz w:val="28"/>
          <w:szCs w:val="28"/>
        </w:rPr>
        <w:t xml:space="preserve"> человек, сре</w:t>
      </w:r>
      <w:r w:rsidR="00CA6A9B" w:rsidRPr="00E21BEB">
        <w:rPr>
          <w:rFonts w:ascii="Times New Roman" w:hAnsi="Times New Roman"/>
          <w:sz w:val="28"/>
          <w:szCs w:val="28"/>
        </w:rPr>
        <w:t>днего медицинского персонала 380</w:t>
      </w:r>
      <w:r w:rsidRPr="00E21BEB">
        <w:rPr>
          <w:rFonts w:ascii="Times New Roman" w:hAnsi="Times New Roman"/>
          <w:sz w:val="28"/>
          <w:szCs w:val="28"/>
        </w:rPr>
        <w:t xml:space="preserve"> человек.  </w:t>
      </w:r>
    </w:p>
    <w:p w:rsidR="001E1795" w:rsidRPr="00E21BEB" w:rsidRDefault="00113BF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   </w:t>
      </w:r>
      <w:r w:rsidR="001E1795" w:rsidRPr="00E21BEB">
        <w:rPr>
          <w:rFonts w:ascii="Times New Roman" w:hAnsi="Times New Roman"/>
          <w:sz w:val="28"/>
          <w:szCs w:val="28"/>
        </w:rPr>
        <w:t xml:space="preserve"> Коэффициент совмести</w:t>
      </w:r>
      <w:r w:rsidRPr="00E21BEB">
        <w:rPr>
          <w:rFonts w:ascii="Times New Roman" w:hAnsi="Times New Roman"/>
          <w:sz w:val="28"/>
          <w:szCs w:val="28"/>
        </w:rPr>
        <w:t>тельства по врачам достигает 2,43</w:t>
      </w:r>
      <w:r w:rsidR="001E1795" w:rsidRPr="00E21BEB">
        <w:rPr>
          <w:rFonts w:ascii="Times New Roman" w:hAnsi="Times New Roman"/>
          <w:sz w:val="28"/>
          <w:szCs w:val="28"/>
        </w:rPr>
        <w:t>, по средне</w:t>
      </w:r>
      <w:r w:rsidRPr="00E21BEB">
        <w:rPr>
          <w:rFonts w:ascii="Times New Roman" w:hAnsi="Times New Roman"/>
          <w:sz w:val="28"/>
          <w:szCs w:val="28"/>
        </w:rPr>
        <w:t>му медицинскому персоналу – 1,73</w:t>
      </w:r>
      <w:r w:rsidR="001E1795" w:rsidRPr="00E21BEB">
        <w:rPr>
          <w:rFonts w:ascii="Times New Roman" w:hAnsi="Times New Roman"/>
          <w:sz w:val="28"/>
          <w:szCs w:val="28"/>
        </w:rPr>
        <w:t>.</w:t>
      </w:r>
    </w:p>
    <w:p w:rsidR="009A4349" w:rsidRDefault="009A4349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49" w:rsidRDefault="009A4349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49" w:rsidRDefault="009A4349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49" w:rsidRDefault="009A4349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4349" w:rsidRDefault="009A4349" w:rsidP="00EA6D19">
      <w:pPr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Потребность  в медицинских  кадрах  для оказания медицинской помощи населению Чебаркульского городского округа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ook w:val="0000"/>
      </w:tblPr>
      <w:tblGrid>
        <w:gridCol w:w="6111"/>
        <w:gridCol w:w="3543"/>
      </w:tblGrid>
      <w:tr w:rsidR="001E1795" w:rsidRPr="009A4349" w:rsidTr="00EA6D19">
        <w:trPr>
          <w:trHeight w:val="720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9A4349">
              <w:rPr>
                <w:rFonts w:ascii="Times New Roman" w:hAnsi="Times New Roman"/>
                <w:iCs/>
                <w:szCs w:val="24"/>
              </w:rPr>
              <w:t xml:space="preserve">Структурное подразделение </w:t>
            </w:r>
            <w:r w:rsidRPr="009A4349">
              <w:rPr>
                <w:rFonts w:ascii="Times New Roman" w:hAnsi="Times New Roman"/>
                <w:szCs w:val="24"/>
              </w:rPr>
              <w:t>ГБУЗ «Областная больница г</w:t>
            </w:r>
            <w:proofErr w:type="gramStart"/>
            <w:r w:rsidRPr="009A4349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9A4349">
              <w:rPr>
                <w:rFonts w:ascii="Times New Roman" w:hAnsi="Times New Roman"/>
                <w:szCs w:val="24"/>
              </w:rPr>
              <w:t>ебаркуль»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iCs/>
                <w:szCs w:val="24"/>
              </w:rPr>
            </w:pPr>
            <w:r w:rsidRPr="009A4349">
              <w:rPr>
                <w:rFonts w:ascii="Times New Roman" w:hAnsi="Times New Roman"/>
                <w:iCs/>
                <w:szCs w:val="24"/>
              </w:rPr>
              <w:t>Потребность в медицинских кадрах, чел.</w:t>
            </w:r>
          </w:p>
        </w:tc>
      </w:tr>
      <w:tr w:rsidR="001E1795" w:rsidRPr="009A4349" w:rsidTr="00EA6D19">
        <w:trPr>
          <w:trHeight w:val="329"/>
        </w:trPr>
        <w:tc>
          <w:tcPr>
            <w:tcW w:w="6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795" w:rsidRPr="009A4349" w:rsidRDefault="001E1795" w:rsidP="00FC1487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795" w:rsidRPr="009A4349" w:rsidRDefault="001E1795" w:rsidP="00FC1487">
            <w:pPr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Взрослая поликлиника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Детская поликлиника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Неврологическое отделение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Женская консультация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Стоматологическая поликлиника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Гинекологическое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Родильное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Детское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Хирургическое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E1795" w:rsidRPr="009A4349" w:rsidTr="00EA6D19">
        <w:trPr>
          <w:trHeight w:val="2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Отделение анестезиологии и реанимации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Терапевтическое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Диагностическое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Рентгенологическое отделение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Отделение скорой медицинской помощи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E1795" w:rsidRPr="009A4349" w:rsidTr="00EA6D19">
        <w:trPr>
          <w:trHeight w:val="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rPr>
                <w:rFonts w:ascii="Times New Roman" w:hAnsi="Times New Roman"/>
                <w:szCs w:val="24"/>
              </w:rPr>
            </w:pPr>
            <w:r w:rsidRPr="009A4349">
              <w:rPr>
                <w:rFonts w:ascii="Times New Roman" w:hAnsi="Times New Roman"/>
                <w:szCs w:val="24"/>
              </w:rPr>
              <w:t>Итого врачей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1795" w:rsidRPr="009A4349" w:rsidRDefault="001E1795" w:rsidP="00FC1487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A4349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</w:tr>
    </w:tbl>
    <w:p w:rsidR="001E1795" w:rsidRPr="009A4349" w:rsidRDefault="001E1795" w:rsidP="009A4349">
      <w:pPr>
        <w:ind w:firstLine="709"/>
        <w:jc w:val="both"/>
        <w:rPr>
          <w:rFonts w:ascii="Times New Roman" w:hAnsi="Times New Roman"/>
          <w:szCs w:val="24"/>
        </w:rPr>
      </w:pP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EB">
        <w:rPr>
          <w:rFonts w:ascii="Times New Roman" w:hAnsi="Times New Roman"/>
          <w:sz w:val="28"/>
          <w:szCs w:val="28"/>
        </w:rPr>
        <w:t xml:space="preserve">Анализ кадрового состава по возрастному уровню свидетельствует о тенденции «старения» медицинских кадров, что приводит к росту доли работников пенсионного возраста (278 человек, или 38,2%) от всех работников) и </w:t>
      </w:r>
      <w:proofErr w:type="spellStart"/>
      <w:r w:rsidRPr="00E21BEB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E21BEB">
        <w:rPr>
          <w:rFonts w:ascii="Times New Roman" w:hAnsi="Times New Roman"/>
          <w:sz w:val="28"/>
          <w:szCs w:val="28"/>
        </w:rPr>
        <w:t xml:space="preserve"> возраста. </w:t>
      </w:r>
      <w:proofErr w:type="gramEnd"/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Острой является проблема привлечения и закрепления в системе здравоохранения городского округа  специалистов с медицинским образованием. Решение кадрового дефицита в здравоохранении на территории Чебаркульского городского округа является наиважнейшей задачей органов местного самоуправления. </w:t>
      </w:r>
      <w:proofErr w:type="gramStart"/>
      <w:r w:rsidRPr="00E21BEB">
        <w:rPr>
          <w:rFonts w:ascii="Times New Roman" w:hAnsi="Times New Roman"/>
          <w:sz w:val="28"/>
          <w:szCs w:val="28"/>
        </w:rPr>
        <w:t>На основании Федерального закона от 21.11.2011 г. № 323-ФЗ «Об основах охраны здоровья граждан в Российской Федерации», одним из полномочий органов местного самоуправления является создание благоприятных условий в целях привлечения медицинских работников для работы в  медицинских организациях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Наиболее дефицитными являются следующие специалисты:  врач акушер-гинеколог, врач </w:t>
      </w:r>
      <w:proofErr w:type="spellStart"/>
      <w:r w:rsidRPr="00E21BEB">
        <w:rPr>
          <w:rFonts w:ascii="Times New Roman" w:hAnsi="Times New Roman"/>
          <w:sz w:val="28"/>
          <w:szCs w:val="28"/>
        </w:rPr>
        <w:t>неонатолог</w:t>
      </w:r>
      <w:proofErr w:type="spellEnd"/>
      <w:r w:rsidRPr="00E21BEB">
        <w:rPr>
          <w:rFonts w:ascii="Times New Roman" w:hAnsi="Times New Roman"/>
          <w:sz w:val="28"/>
          <w:szCs w:val="28"/>
        </w:rPr>
        <w:t xml:space="preserve">, врач анестезиолог-реаниматолог, врач терапевт участковый, врач кардиолог, врач функциональной диагностики, врач </w:t>
      </w:r>
      <w:r w:rsidRPr="00E21BE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E21BEB">
        <w:rPr>
          <w:rFonts w:ascii="Times New Roman" w:hAnsi="Times New Roman"/>
          <w:sz w:val="28"/>
          <w:szCs w:val="28"/>
        </w:rPr>
        <w:t>эндоскопист</w:t>
      </w:r>
      <w:proofErr w:type="spellEnd"/>
      <w:r w:rsidRPr="00E21BEB">
        <w:rPr>
          <w:rFonts w:ascii="Times New Roman" w:hAnsi="Times New Roman"/>
          <w:sz w:val="28"/>
          <w:szCs w:val="28"/>
        </w:rPr>
        <w:t>, врач хирург, врач онколог, врач офтальмолог, врач отоларинголог, врач педиатр и др.</w:t>
      </w:r>
    </w:p>
    <w:p w:rsidR="001E1795" w:rsidRPr="00E21BEB" w:rsidRDefault="001E1795" w:rsidP="009A4349">
      <w:pPr>
        <w:tabs>
          <w:tab w:val="left" w:pos="0"/>
          <w:tab w:val="left" w:pos="414"/>
          <w:tab w:val="left" w:pos="1260"/>
        </w:tabs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Отмечается на сегодня дефицит и среднего медицинского персонала по таким должностям, как фельдшер </w:t>
      </w:r>
      <w:proofErr w:type="spellStart"/>
      <w:r w:rsidRPr="00E21BEB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E21BEB">
        <w:rPr>
          <w:rFonts w:ascii="Times New Roman" w:hAnsi="Times New Roman"/>
          <w:sz w:val="28"/>
          <w:szCs w:val="28"/>
        </w:rPr>
        <w:t>–акушерских пунктов, фельдшер смотрового кабинета (мужского)  взрослой поликлиники, фельдшер  (школы)  МБОУ СОШ № 4, фельдшер (</w:t>
      </w:r>
      <w:proofErr w:type="spellStart"/>
      <w:r w:rsidRPr="00E21BEB">
        <w:rPr>
          <w:rFonts w:ascii="Times New Roman" w:hAnsi="Times New Roman"/>
          <w:sz w:val="28"/>
          <w:szCs w:val="28"/>
        </w:rPr>
        <w:t>профучилища</w:t>
      </w:r>
      <w:proofErr w:type="spellEnd"/>
      <w:r w:rsidRPr="00E21BEB">
        <w:rPr>
          <w:rFonts w:ascii="Times New Roman" w:hAnsi="Times New Roman"/>
          <w:sz w:val="28"/>
          <w:szCs w:val="28"/>
        </w:rPr>
        <w:t>)  ГБПОУ «</w:t>
      </w:r>
      <w:proofErr w:type="spellStart"/>
      <w:r w:rsidRPr="00E21B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E21BEB">
        <w:rPr>
          <w:rFonts w:ascii="Times New Roman" w:hAnsi="Times New Roman"/>
          <w:sz w:val="28"/>
          <w:szCs w:val="28"/>
        </w:rPr>
        <w:t xml:space="preserve"> профессиональный техникум».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Неудовлетворительной остается ситуация поступления на работу в ЛПУ выпускников вузов и колледжей, которая  напрямую связана с  отсутствием экономической заинтересованности, неудовлетворенностью социально-бытовыми условиями,  что и приводит напрямую к проблеме дефицита медицинских кадров.</w:t>
      </w:r>
    </w:p>
    <w:p w:rsidR="00CF1810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Проблема кадрового дефицита тесно связана с остро стоящей проблемой жилищного обеспечения </w:t>
      </w:r>
      <w:r w:rsidR="00CF1810" w:rsidRPr="00E21BEB">
        <w:rPr>
          <w:rFonts w:ascii="Times New Roman" w:hAnsi="Times New Roman"/>
          <w:sz w:val="28"/>
          <w:szCs w:val="28"/>
        </w:rPr>
        <w:t xml:space="preserve">и выплатами подъемных </w:t>
      </w:r>
      <w:r w:rsidRPr="00E21BEB">
        <w:rPr>
          <w:rFonts w:ascii="Times New Roman" w:hAnsi="Times New Roman"/>
          <w:sz w:val="28"/>
          <w:szCs w:val="28"/>
        </w:rPr>
        <w:t>специалист</w:t>
      </w:r>
      <w:r w:rsidR="00CF1810" w:rsidRPr="00E21BEB">
        <w:rPr>
          <w:rFonts w:ascii="Times New Roman" w:hAnsi="Times New Roman"/>
          <w:sz w:val="28"/>
          <w:szCs w:val="28"/>
        </w:rPr>
        <w:t xml:space="preserve">ам </w:t>
      </w:r>
      <w:r w:rsidRPr="00E21BEB">
        <w:rPr>
          <w:rFonts w:ascii="Times New Roman" w:hAnsi="Times New Roman"/>
          <w:sz w:val="28"/>
          <w:szCs w:val="28"/>
        </w:rPr>
        <w:t>с медицинским образованием</w:t>
      </w:r>
      <w:r w:rsidR="00CF1810" w:rsidRPr="00E21BEB">
        <w:rPr>
          <w:rFonts w:ascii="Times New Roman" w:hAnsi="Times New Roman"/>
          <w:sz w:val="28"/>
          <w:szCs w:val="28"/>
        </w:rPr>
        <w:t>.</w:t>
      </w:r>
      <w:r w:rsidRPr="00E21BEB">
        <w:rPr>
          <w:rFonts w:ascii="Times New Roman" w:hAnsi="Times New Roman"/>
          <w:sz w:val="28"/>
          <w:szCs w:val="28"/>
        </w:rPr>
        <w:t xml:space="preserve"> </w:t>
      </w:r>
    </w:p>
    <w:p w:rsidR="00CF1810" w:rsidRPr="00E21BEB" w:rsidRDefault="00CF1810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С целью привлечения медицинских работников в ГБУЗ «Областная больница </w:t>
      </w:r>
      <w:proofErr w:type="gramStart"/>
      <w:r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. Чебаркуль» в </w:t>
      </w:r>
      <w:proofErr w:type="spellStart"/>
      <w:r w:rsidRPr="00E21BEB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E21BEB">
        <w:rPr>
          <w:rFonts w:ascii="Times New Roman" w:hAnsi="Times New Roman"/>
          <w:sz w:val="28"/>
          <w:szCs w:val="28"/>
        </w:rPr>
        <w:t xml:space="preserve"> городском округе принято Положение «О социальных выплатах специалистам с медицинским образованием впервые трудоустроенным в ГБУЗ «Областная больница г. Чебаркуль» Чебаркульского городского округа»</w:t>
      </w:r>
      <w:r w:rsidR="00837782" w:rsidRPr="00E21BEB">
        <w:rPr>
          <w:rFonts w:ascii="Times New Roman" w:hAnsi="Times New Roman"/>
          <w:sz w:val="28"/>
          <w:szCs w:val="28"/>
        </w:rPr>
        <w:t xml:space="preserve"> (постановлении администрации Чебаркульского городского округа от 29.10.2018г. №</w:t>
      </w:r>
      <w:r w:rsidR="002F6C56" w:rsidRPr="00E21BEB">
        <w:rPr>
          <w:rFonts w:ascii="Times New Roman" w:hAnsi="Times New Roman"/>
          <w:sz w:val="28"/>
          <w:szCs w:val="28"/>
        </w:rPr>
        <w:t xml:space="preserve"> </w:t>
      </w:r>
      <w:r w:rsidR="00837782" w:rsidRPr="00E21BEB">
        <w:rPr>
          <w:rFonts w:ascii="Times New Roman" w:hAnsi="Times New Roman"/>
          <w:sz w:val="28"/>
          <w:szCs w:val="28"/>
        </w:rPr>
        <w:t>710 (в редакции от 06.03.2019г.))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Для стабилизации кадровой ситуации, улучшения условий их труда и уровня жизни существует острая необходимость в принятии программы по обеспечению медицинскими кадрами системы здравоохранения на территории Чебаркульского городского округа.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 </w:t>
      </w:r>
      <w:proofErr w:type="spellStart"/>
      <w:r w:rsidRPr="00E21BEB">
        <w:rPr>
          <w:rFonts w:ascii="Times New Roman" w:hAnsi="Times New Roman"/>
          <w:sz w:val="28"/>
          <w:szCs w:val="28"/>
        </w:rPr>
        <w:t>Чебаркульском</w:t>
      </w:r>
      <w:proofErr w:type="spellEnd"/>
      <w:r w:rsidRPr="00E21BEB">
        <w:rPr>
          <w:rFonts w:ascii="Times New Roman" w:hAnsi="Times New Roman"/>
          <w:sz w:val="28"/>
          <w:szCs w:val="28"/>
        </w:rPr>
        <w:t xml:space="preserve"> городском округе предусматривает:</w:t>
      </w:r>
    </w:p>
    <w:p w:rsidR="00CF1810" w:rsidRPr="00E21BEB" w:rsidRDefault="00CF1810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1) предоставление единовременных социальных выплат (подъемных)  специалистам с медицинским образованием;</w:t>
      </w:r>
    </w:p>
    <w:p w:rsidR="00CF1810" w:rsidRPr="00E21BEB" w:rsidRDefault="00CF1810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2) предоставление жилых помещений на условиях коммерческого найма для привлечения на работу в ГБУЗ «Областная больница </w:t>
      </w:r>
      <w:proofErr w:type="gramStart"/>
      <w:r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Pr="00E21BEB">
        <w:rPr>
          <w:rFonts w:ascii="Times New Roman" w:hAnsi="Times New Roman"/>
          <w:sz w:val="28"/>
          <w:szCs w:val="28"/>
        </w:rPr>
        <w:t>. Чебаркуль» специалистов с медицинским образованием;</w:t>
      </w:r>
    </w:p>
    <w:p w:rsidR="001E1795" w:rsidRPr="00E21BEB" w:rsidRDefault="00CF1810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EB">
        <w:rPr>
          <w:rFonts w:ascii="Times New Roman" w:hAnsi="Times New Roman"/>
          <w:sz w:val="28"/>
          <w:szCs w:val="28"/>
        </w:rPr>
        <w:t>3</w:t>
      </w:r>
      <w:r w:rsidR="001E1795" w:rsidRPr="00E21BEB">
        <w:rPr>
          <w:rFonts w:ascii="Times New Roman" w:hAnsi="Times New Roman"/>
          <w:sz w:val="28"/>
          <w:szCs w:val="28"/>
        </w:rPr>
        <w:t xml:space="preserve">) организацию работы по повышению престижности профессии медицинского работника, это и заключение  целевых трехсторонних контрактов  с поступающими в высшие медицинские образовательные учреждения по направлению администрации города, </w:t>
      </w:r>
      <w:proofErr w:type="spellStart"/>
      <w:r w:rsidR="001E1795" w:rsidRPr="00E21BEB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1E1795" w:rsidRPr="00E21BEB">
        <w:rPr>
          <w:rFonts w:ascii="Times New Roman" w:hAnsi="Times New Roman"/>
          <w:sz w:val="28"/>
          <w:szCs w:val="28"/>
        </w:rPr>
        <w:t xml:space="preserve"> работа в образовательных учреждениях города: лекции,</w:t>
      </w:r>
      <w:r w:rsidR="00671A72" w:rsidRPr="00E21BEB">
        <w:rPr>
          <w:rFonts w:ascii="Times New Roman" w:hAnsi="Times New Roman"/>
          <w:sz w:val="28"/>
          <w:szCs w:val="28"/>
        </w:rPr>
        <w:t xml:space="preserve"> экскурсии в отделения больниц</w:t>
      </w:r>
      <w:r w:rsidRPr="00E21BEB">
        <w:rPr>
          <w:rFonts w:ascii="Times New Roman" w:hAnsi="Times New Roman"/>
          <w:sz w:val="28"/>
          <w:szCs w:val="28"/>
        </w:rPr>
        <w:t xml:space="preserve"> и пр.</w:t>
      </w:r>
      <w:proofErr w:type="gramEnd"/>
    </w:p>
    <w:p w:rsidR="001431B7" w:rsidRPr="00E21BEB" w:rsidRDefault="001431B7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Исходя из анализа  ожидаемых результатов реализации муниципальной программы «Медицинские кадры  на территории Чебаркульского городского округа за 2018 год видно, что показатель  обеспеченности врачебными кадрами фактически </w:t>
      </w:r>
      <w:proofErr w:type="gramStart"/>
      <w:r w:rsidRPr="00E21BEB">
        <w:rPr>
          <w:rFonts w:ascii="Times New Roman" w:hAnsi="Times New Roman"/>
          <w:sz w:val="28"/>
          <w:szCs w:val="28"/>
        </w:rPr>
        <w:t>был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 достигнут в объеме, предусмотренном в программе на соответствующий период – 22,2 чел. на 10 тыс. населения. </w:t>
      </w:r>
    </w:p>
    <w:p w:rsidR="00671A72" w:rsidRPr="00E21BEB" w:rsidRDefault="00671A72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С  целью привлечения молодых специалистов с медицинским </w:t>
      </w:r>
      <w:r w:rsidRPr="00E21BEB">
        <w:rPr>
          <w:rFonts w:ascii="Times New Roman" w:hAnsi="Times New Roman"/>
          <w:sz w:val="28"/>
          <w:szCs w:val="28"/>
        </w:rPr>
        <w:lastRenderedPageBreak/>
        <w:t xml:space="preserve">образованием в 2018 году за счет выплаты подъемных молодым специалистам в сумме 100,00 тыс. руб. был привлечен на работу в ГБУЗ «Областная больница </w:t>
      </w:r>
      <w:proofErr w:type="gramStart"/>
      <w:r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Pr="00E21BEB">
        <w:rPr>
          <w:rFonts w:ascii="Times New Roman" w:hAnsi="Times New Roman"/>
          <w:sz w:val="28"/>
          <w:szCs w:val="28"/>
        </w:rPr>
        <w:t>. Чебаркуль» 1 врач-терапевт участковый, заключен  один договор коммерческого найма  на нежилое помещение с 1 врачом-анестезиологом.</w:t>
      </w:r>
    </w:p>
    <w:p w:rsidR="00671A72" w:rsidRPr="00E21BEB" w:rsidRDefault="001431B7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Коэффициент</w:t>
      </w:r>
      <w:r w:rsidR="001E1795" w:rsidRPr="00E21BEB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 «Медицинские кадры на территории Чеба</w:t>
      </w:r>
      <w:r w:rsidRPr="00E21BEB">
        <w:rPr>
          <w:rFonts w:ascii="Times New Roman" w:hAnsi="Times New Roman"/>
          <w:sz w:val="28"/>
          <w:szCs w:val="28"/>
        </w:rPr>
        <w:t xml:space="preserve">ркульского городского округа»  по итогам </w:t>
      </w:r>
      <w:r w:rsidR="001E1795" w:rsidRPr="00E21BEB">
        <w:rPr>
          <w:rFonts w:ascii="Times New Roman" w:hAnsi="Times New Roman"/>
          <w:sz w:val="28"/>
          <w:szCs w:val="28"/>
        </w:rPr>
        <w:t xml:space="preserve"> </w:t>
      </w:r>
      <w:r w:rsidR="0044245F" w:rsidRPr="00E21BEB">
        <w:rPr>
          <w:rFonts w:ascii="Times New Roman" w:hAnsi="Times New Roman"/>
          <w:sz w:val="28"/>
          <w:szCs w:val="28"/>
        </w:rPr>
        <w:t>2018</w:t>
      </w:r>
      <w:r w:rsidR="001E1795" w:rsidRPr="00E21BEB">
        <w:rPr>
          <w:rFonts w:ascii="Times New Roman" w:hAnsi="Times New Roman"/>
          <w:sz w:val="28"/>
          <w:szCs w:val="28"/>
        </w:rPr>
        <w:t xml:space="preserve"> год</w:t>
      </w:r>
      <w:r w:rsidRPr="00E21BEB">
        <w:rPr>
          <w:rFonts w:ascii="Times New Roman" w:hAnsi="Times New Roman"/>
          <w:sz w:val="28"/>
          <w:szCs w:val="28"/>
        </w:rPr>
        <w:t>а</w:t>
      </w:r>
      <w:r w:rsidR="001E1795" w:rsidRPr="00E21BEB">
        <w:rPr>
          <w:rFonts w:ascii="Times New Roman" w:hAnsi="Times New Roman"/>
          <w:sz w:val="28"/>
          <w:szCs w:val="28"/>
        </w:rPr>
        <w:t xml:space="preserve"> составил 0,65</w:t>
      </w:r>
      <w:r w:rsidRPr="00E21BEB">
        <w:rPr>
          <w:rFonts w:ascii="Times New Roman" w:hAnsi="Times New Roman"/>
          <w:sz w:val="28"/>
          <w:szCs w:val="28"/>
        </w:rPr>
        <w:t>. Эффективность реализации</w:t>
      </w:r>
      <w:r w:rsidR="001E1795" w:rsidRPr="00E21BEB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21BEB">
        <w:rPr>
          <w:rFonts w:ascii="Times New Roman" w:hAnsi="Times New Roman"/>
          <w:sz w:val="28"/>
          <w:szCs w:val="28"/>
        </w:rPr>
        <w:t xml:space="preserve"> была признана неудовлетворительной</w:t>
      </w:r>
      <w:r w:rsidR="002A30C1" w:rsidRPr="00E21BEB">
        <w:rPr>
          <w:rFonts w:ascii="Times New Roman" w:hAnsi="Times New Roman"/>
          <w:sz w:val="28"/>
          <w:szCs w:val="28"/>
        </w:rPr>
        <w:t xml:space="preserve"> по причине отказа медицинских работников от получения предоставляемых жилых помещений на условиях коммерческого найма</w:t>
      </w:r>
      <w:r w:rsidR="001E1795" w:rsidRPr="00E21BEB">
        <w:rPr>
          <w:rFonts w:ascii="Times New Roman" w:hAnsi="Times New Roman"/>
          <w:sz w:val="28"/>
          <w:szCs w:val="28"/>
        </w:rPr>
        <w:t xml:space="preserve">. 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2. Основные цели  и  задачи  муниципальной  программы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Основной целью Программы является создание благоприятных условий для привлечения и закрепления медицинских работников для работы в ГБУЗ «Областная больница г</w:t>
      </w:r>
      <w:proofErr w:type="gramStart"/>
      <w:r w:rsidRPr="00E21BEB">
        <w:rPr>
          <w:rFonts w:ascii="Times New Roman" w:hAnsi="Times New Roman"/>
          <w:sz w:val="28"/>
          <w:szCs w:val="28"/>
        </w:rPr>
        <w:t>.Ч</w:t>
      </w:r>
      <w:proofErr w:type="gramEnd"/>
      <w:r w:rsidRPr="00E21BEB">
        <w:rPr>
          <w:rFonts w:ascii="Times New Roman" w:hAnsi="Times New Roman"/>
          <w:sz w:val="28"/>
          <w:szCs w:val="28"/>
        </w:rPr>
        <w:t>ебаркуль».</w:t>
      </w:r>
    </w:p>
    <w:p w:rsidR="001E1795" w:rsidRPr="00E21BEB" w:rsidRDefault="001E1795" w:rsidP="009A434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Для этого необходимо проведение социальных мер, направленных на привлечение и закрепление кадров в ГБУЗ «Областная больница г</w:t>
      </w:r>
      <w:proofErr w:type="gramStart"/>
      <w:r w:rsidRPr="00E21BEB">
        <w:rPr>
          <w:rFonts w:ascii="Times New Roman" w:hAnsi="Times New Roman"/>
          <w:sz w:val="28"/>
          <w:szCs w:val="28"/>
        </w:rPr>
        <w:t>.Ч</w:t>
      </w:r>
      <w:proofErr w:type="gramEnd"/>
      <w:r w:rsidRPr="00E21BEB">
        <w:rPr>
          <w:rFonts w:ascii="Times New Roman" w:hAnsi="Times New Roman"/>
          <w:sz w:val="28"/>
          <w:szCs w:val="28"/>
        </w:rPr>
        <w:t>ебаркуль».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основных задач Программы:</w:t>
      </w:r>
    </w:p>
    <w:p w:rsidR="00904CFA" w:rsidRPr="00E21BEB" w:rsidRDefault="00904CFA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1)</w:t>
      </w:r>
      <w:r w:rsidRPr="00E21BEB">
        <w:rPr>
          <w:rFonts w:ascii="Times New Roman" w:hAnsi="Times New Roman"/>
          <w:sz w:val="28"/>
          <w:szCs w:val="28"/>
        </w:rPr>
        <w:tab/>
        <w:t>Повышение укомплектованности   медицинскими  кадрами.</w:t>
      </w:r>
    </w:p>
    <w:p w:rsidR="001E1795" w:rsidRPr="00E21BEB" w:rsidRDefault="00904CFA" w:rsidP="009A434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EB">
        <w:rPr>
          <w:rFonts w:ascii="Times New Roman" w:hAnsi="Times New Roman" w:cs="Times New Roman"/>
          <w:sz w:val="28"/>
          <w:szCs w:val="28"/>
        </w:rPr>
        <w:t>2</w:t>
      </w:r>
      <w:r w:rsidR="001E1795" w:rsidRPr="00E21BEB">
        <w:rPr>
          <w:rFonts w:ascii="Times New Roman" w:hAnsi="Times New Roman" w:cs="Times New Roman"/>
          <w:sz w:val="28"/>
          <w:szCs w:val="28"/>
        </w:rPr>
        <w:t xml:space="preserve">) </w:t>
      </w:r>
      <w:r w:rsidR="00FE4BE5" w:rsidRPr="00E21BEB">
        <w:rPr>
          <w:rFonts w:ascii="Times New Roman" w:hAnsi="Times New Roman" w:cs="Times New Roman"/>
          <w:sz w:val="28"/>
          <w:szCs w:val="28"/>
        </w:rPr>
        <w:t xml:space="preserve">      </w:t>
      </w:r>
      <w:r w:rsidR="001E1795" w:rsidRPr="00E21BEB">
        <w:rPr>
          <w:rFonts w:ascii="Times New Roman" w:hAnsi="Times New Roman" w:cs="Times New Roman"/>
          <w:sz w:val="28"/>
          <w:szCs w:val="28"/>
        </w:rPr>
        <w:t>Социальная поддержка медицинских работников.</w:t>
      </w:r>
    </w:p>
    <w:p w:rsidR="001E1795" w:rsidRPr="00E21BEB" w:rsidRDefault="001E1795" w:rsidP="009A434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EB">
        <w:rPr>
          <w:rFonts w:ascii="Times New Roman" w:hAnsi="Times New Roman" w:cs="Times New Roman"/>
          <w:sz w:val="28"/>
          <w:szCs w:val="28"/>
        </w:rPr>
        <w:t>3)</w:t>
      </w:r>
      <w:r w:rsidRPr="00E21BEB">
        <w:rPr>
          <w:rFonts w:ascii="Times New Roman" w:hAnsi="Times New Roman" w:cs="Times New Roman"/>
          <w:sz w:val="28"/>
          <w:szCs w:val="28"/>
        </w:rPr>
        <w:tab/>
        <w:t>Привлечение  специалистов с медицинским образованием.</w:t>
      </w: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3. Сроки и этапы реализации муниципальной программы</w:t>
      </w: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Реализация программы рассчитана на 2020 год и плановый период 2021 и 2022 годы. Муниципальная программа носит непрерывный характер и в связи с этим выделение отдельных этапов не предусмотрено.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4. Система мероприятий и показатели (индикаторы) муниципальной программы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 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В целях обеспечения комплексного подхода к решению поставленных задач, концентрации ресурсов здравоохранения на приоритетных направлениях программные мероприятия включают деятельность по следующим направлениям </w:t>
      </w:r>
    </w:p>
    <w:p w:rsidR="001E1795" w:rsidRPr="00E21BEB" w:rsidRDefault="001E1795" w:rsidP="009A4349">
      <w:pPr>
        <w:tabs>
          <w:tab w:val="left" w:pos="8406"/>
          <w:tab w:val="right" w:pos="9636"/>
        </w:tabs>
        <w:ind w:firstLine="709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ab/>
      </w:r>
    </w:p>
    <w:p w:rsidR="001E1795" w:rsidRPr="00E21BEB" w:rsidRDefault="001E1795" w:rsidP="009A4349">
      <w:pPr>
        <w:tabs>
          <w:tab w:val="left" w:pos="8406"/>
          <w:tab w:val="right" w:pos="9636"/>
        </w:tabs>
        <w:ind w:firstLine="709"/>
        <w:rPr>
          <w:rFonts w:ascii="Times New Roman" w:hAnsi="Times New Roman"/>
          <w:sz w:val="28"/>
          <w:szCs w:val="28"/>
        </w:rPr>
        <w:sectPr w:rsidR="001E1795" w:rsidRPr="00E21BEB" w:rsidSect="00EA6D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567" w:bottom="1134" w:left="1701" w:header="720" w:footer="0" w:gutter="0"/>
          <w:pgNumType w:start="1"/>
          <w:cols w:space="720"/>
          <w:titlePg/>
        </w:sect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Перечень мероприятий муниципальной программы</w:t>
      </w:r>
    </w:p>
    <w:tbl>
      <w:tblPr>
        <w:tblW w:w="152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94"/>
        <w:gridCol w:w="5037"/>
        <w:gridCol w:w="2618"/>
        <w:gridCol w:w="1701"/>
        <w:gridCol w:w="2329"/>
      </w:tblGrid>
      <w:tr w:rsidR="001E1795" w:rsidRPr="00E21BEB" w:rsidTr="00EA6D19">
        <w:tc>
          <w:tcPr>
            <w:tcW w:w="709" w:type="dxa"/>
          </w:tcPr>
          <w:p w:rsidR="001E1795" w:rsidRPr="00E21BEB" w:rsidRDefault="001E1795" w:rsidP="009A4349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21BE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894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Задача муниципальной программы</w:t>
            </w:r>
          </w:p>
        </w:tc>
        <w:tc>
          <w:tcPr>
            <w:tcW w:w="5037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618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Показатели (индикаторы)</w:t>
            </w:r>
          </w:p>
        </w:tc>
        <w:tc>
          <w:tcPr>
            <w:tcW w:w="1701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2329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1E1795" w:rsidRPr="00E21BEB" w:rsidTr="00EA6D19">
        <w:tc>
          <w:tcPr>
            <w:tcW w:w="709" w:type="dxa"/>
          </w:tcPr>
          <w:p w:rsidR="001E1795" w:rsidRPr="00E21BEB" w:rsidRDefault="001E1795" w:rsidP="009A4349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4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037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18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29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E1795" w:rsidRPr="00E21BEB" w:rsidTr="00EA6D19">
        <w:tc>
          <w:tcPr>
            <w:tcW w:w="15288" w:type="dxa"/>
            <w:gridSpan w:val="6"/>
          </w:tcPr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1. Цель:  Создание  благоприятных условий  для привлечения и закрепления медицинских работников для работы в ГБУЗ «Областная больница г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ебаркуль»</w:t>
            </w:r>
          </w:p>
        </w:tc>
      </w:tr>
      <w:tr w:rsidR="001E1795" w:rsidRPr="00E21BEB" w:rsidTr="00EA6D19">
        <w:trPr>
          <w:trHeight w:val="5801"/>
        </w:trPr>
        <w:tc>
          <w:tcPr>
            <w:tcW w:w="709" w:type="dxa"/>
          </w:tcPr>
          <w:p w:rsidR="001E1795" w:rsidRPr="00E21BEB" w:rsidRDefault="001E1795" w:rsidP="009A4349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  <w:r w:rsidR="000052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4" w:type="dxa"/>
          </w:tcPr>
          <w:p w:rsidR="001E1795" w:rsidRPr="00E21BEB" w:rsidRDefault="00904CFA" w:rsidP="00F70D05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Повышение укомплектованности   медицинскими  кадрами</w:t>
            </w:r>
          </w:p>
        </w:tc>
        <w:tc>
          <w:tcPr>
            <w:tcW w:w="5037" w:type="dxa"/>
            <w:shd w:val="clear" w:color="auto" w:fill="auto"/>
          </w:tcPr>
          <w:p w:rsidR="001E1795" w:rsidRPr="00E21BEB" w:rsidRDefault="001E1795" w:rsidP="000052DE">
            <w:pPr>
              <w:tabs>
                <w:tab w:val="left" w:pos="0"/>
                <w:tab w:val="left" w:pos="418"/>
                <w:tab w:val="left" w:pos="447"/>
                <w:tab w:val="left" w:pos="615"/>
              </w:tabs>
              <w:ind w:right="21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1.1. </w:t>
            </w:r>
            <w:r w:rsidR="002B5B01" w:rsidRPr="00E21BEB">
              <w:rPr>
                <w:rFonts w:ascii="Times New Roman" w:hAnsi="Times New Roman"/>
                <w:szCs w:val="24"/>
              </w:rPr>
              <w:t>Предоставление</w:t>
            </w:r>
            <w:r w:rsidRPr="00E21BEB">
              <w:rPr>
                <w:rFonts w:ascii="Times New Roman" w:hAnsi="Times New Roman"/>
                <w:szCs w:val="24"/>
              </w:rPr>
              <w:t xml:space="preserve"> жилых помещений  специалистам с медицинским образованием</w:t>
            </w:r>
            <w:r w:rsidR="002B5B01" w:rsidRPr="00E21BEB">
              <w:rPr>
                <w:rFonts w:ascii="Times New Roman" w:hAnsi="Times New Roman"/>
                <w:szCs w:val="24"/>
              </w:rPr>
              <w:t xml:space="preserve"> по</w:t>
            </w:r>
            <w:r w:rsidRPr="00E21BEB">
              <w:rPr>
                <w:rFonts w:ascii="Times New Roman" w:hAnsi="Times New Roman"/>
                <w:szCs w:val="24"/>
              </w:rPr>
              <w:t xml:space="preserve"> договор</w:t>
            </w:r>
            <w:r w:rsidR="002B5B01" w:rsidRPr="00E21BEB">
              <w:rPr>
                <w:rFonts w:ascii="Times New Roman" w:hAnsi="Times New Roman"/>
                <w:szCs w:val="24"/>
              </w:rPr>
              <w:t>ам</w:t>
            </w:r>
            <w:r w:rsidRPr="00E21BEB">
              <w:rPr>
                <w:rFonts w:ascii="Times New Roman" w:hAnsi="Times New Roman"/>
                <w:szCs w:val="24"/>
              </w:rPr>
              <w:t xml:space="preserve"> коммерческого найма жилого  помещения</w:t>
            </w:r>
            <w:r w:rsidR="007D79A9" w:rsidRPr="00E21BEB">
              <w:rPr>
                <w:rFonts w:ascii="Times New Roman" w:hAnsi="Times New Roman"/>
                <w:szCs w:val="24"/>
              </w:rPr>
              <w:t>:</w:t>
            </w:r>
            <w:r w:rsidR="00904CFA" w:rsidRPr="00E21BEB">
              <w:rPr>
                <w:rFonts w:ascii="Times New Roman" w:hAnsi="Times New Roman"/>
                <w:szCs w:val="24"/>
              </w:rPr>
              <w:t xml:space="preserve"> 2 жилых помещения</w:t>
            </w:r>
            <w:r w:rsidR="007D79A9" w:rsidRPr="00E21BEB">
              <w:rPr>
                <w:rFonts w:ascii="Times New Roman" w:hAnsi="Times New Roman"/>
                <w:szCs w:val="24"/>
              </w:rPr>
              <w:t xml:space="preserve"> по ул. Мира, д.17 и</w:t>
            </w:r>
            <w:r w:rsidR="002B5B01" w:rsidRPr="00E21BEB">
              <w:rPr>
                <w:rFonts w:ascii="Times New Roman" w:hAnsi="Times New Roman"/>
                <w:szCs w:val="24"/>
              </w:rPr>
              <w:t xml:space="preserve"> 1 жилое помещение по </w:t>
            </w:r>
            <w:r w:rsidR="007D79A9" w:rsidRPr="00E21BEB">
              <w:rPr>
                <w:rFonts w:ascii="Times New Roman" w:hAnsi="Times New Roman"/>
                <w:szCs w:val="24"/>
              </w:rPr>
              <w:t xml:space="preserve">ул. Крылова, </w:t>
            </w:r>
            <w:r w:rsidR="007A7D6C" w:rsidRPr="00E21BEB">
              <w:rPr>
                <w:rFonts w:ascii="Times New Roman" w:hAnsi="Times New Roman"/>
                <w:szCs w:val="24"/>
              </w:rPr>
              <w:t>д.</w:t>
            </w:r>
            <w:r w:rsidR="007D79A9" w:rsidRPr="00E21BEB">
              <w:rPr>
                <w:rFonts w:ascii="Times New Roman" w:hAnsi="Times New Roman"/>
                <w:szCs w:val="24"/>
              </w:rPr>
              <w:t>8а-65</w:t>
            </w:r>
          </w:p>
        </w:tc>
        <w:tc>
          <w:tcPr>
            <w:tcW w:w="2618" w:type="dxa"/>
          </w:tcPr>
          <w:p w:rsidR="001E1795" w:rsidRPr="00E21BEB" w:rsidRDefault="001E1795" w:rsidP="000052DE">
            <w:pPr>
              <w:ind w:right="174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 предоставленных  жилых помещений на условиях коммерческого найма для привлекаемых на работу в ГБУЗ «Областная больница г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ебаркуль» специалистов с медицинским образованием</w:t>
            </w:r>
          </w:p>
        </w:tc>
        <w:tc>
          <w:tcPr>
            <w:tcW w:w="1701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2020-2022 гг.</w:t>
            </w:r>
          </w:p>
        </w:tc>
        <w:tc>
          <w:tcPr>
            <w:tcW w:w="2329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</w:tr>
      <w:tr w:rsidR="001E1795" w:rsidRPr="00E21BEB" w:rsidTr="00EA6D19">
        <w:trPr>
          <w:trHeight w:val="352"/>
        </w:trPr>
        <w:tc>
          <w:tcPr>
            <w:tcW w:w="709" w:type="dxa"/>
          </w:tcPr>
          <w:p w:rsidR="001E1795" w:rsidRDefault="001E1795" w:rsidP="00EA6D1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</w:t>
            </w:r>
          </w:p>
          <w:p w:rsidR="000052DE" w:rsidRPr="00E21BEB" w:rsidRDefault="000052DE" w:rsidP="00EA6D1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94" w:type="dxa"/>
          </w:tcPr>
          <w:p w:rsidR="001E1795" w:rsidRPr="00E21BEB" w:rsidRDefault="0004657C" w:rsidP="00F70D05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Социальная поддержка медицинских работников</w:t>
            </w:r>
          </w:p>
        </w:tc>
        <w:tc>
          <w:tcPr>
            <w:tcW w:w="5037" w:type="dxa"/>
          </w:tcPr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2.1. </w:t>
            </w:r>
            <w:r w:rsidR="0004657C" w:rsidRPr="00E21BEB">
              <w:rPr>
                <w:rFonts w:ascii="Times New Roman" w:hAnsi="Times New Roman"/>
                <w:szCs w:val="24"/>
              </w:rPr>
              <w:t>Предоставление</w:t>
            </w:r>
            <w:r w:rsidRPr="00E21BEB">
              <w:rPr>
                <w:rFonts w:ascii="Times New Roman" w:hAnsi="Times New Roman"/>
                <w:szCs w:val="24"/>
              </w:rPr>
              <w:t xml:space="preserve">  единовременных социальных выплат (подъемных)  специалистам с  медицинским образованием, </w:t>
            </w:r>
            <w:r w:rsidR="00837782" w:rsidRPr="00E21BEB">
              <w:rPr>
                <w:rFonts w:ascii="Times New Roman" w:hAnsi="Times New Roman"/>
                <w:szCs w:val="24"/>
              </w:rPr>
              <w:t xml:space="preserve">впервые </w:t>
            </w:r>
            <w:r w:rsidRPr="00E21BEB">
              <w:rPr>
                <w:rFonts w:ascii="Times New Roman" w:hAnsi="Times New Roman"/>
                <w:szCs w:val="24"/>
              </w:rPr>
              <w:t xml:space="preserve">трудоустроенным в 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 xml:space="preserve">. Чебаркуль» </w:t>
            </w:r>
          </w:p>
        </w:tc>
        <w:tc>
          <w:tcPr>
            <w:tcW w:w="2618" w:type="dxa"/>
          </w:tcPr>
          <w:p w:rsidR="001E1795" w:rsidRPr="00E21BEB" w:rsidRDefault="001E1795" w:rsidP="000052D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Количество  специалистов с медицинским образованием, получивших подъемные</w:t>
            </w:r>
          </w:p>
        </w:tc>
        <w:tc>
          <w:tcPr>
            <w:tcW w:w="1701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2020-2022 гг.</w:t>
            </w:r>
          </w:p>
        </w:tc>
        <w:tc>
          <w:tcPr>
            <w:tcW w:w="2329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Администрация Чебаркульского городского округа</w:t>
            </w:r>
          </w:p>
        </w:tc>
      </w:tr>
      <w:tr w:rsidR="001E1795" w:rsidRPr="00E21BEB" w:rsidTr="00EA6D19">
        <w:trPr>
          <w:trHeight w:val="352"/>
        </w:trPr>
        <w:tc>
          <w:tcPr>
            <w:tcW w:w="709" w:type="dxa"/>
          </w:tcPr>
          <w:p w:rsidR="001E1795" w:rsidRPr="00E21BEB" w:rsidRDefault="001E1795" w:rsidP="00EA6D19">
            <w:pPr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894" w:type="dxa"/>
          </w:tcPr>
          <w:p w:rsidR="00904CFA" w:rsidRPr="00E21BEB" w:rsidRDefault="00904CFA" w:rsidP="00F70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Привлечение  специалистов с медицинским образованием</w:t>
            </w:r>
          </w:p>
          <w:p w:rsidR="001E1795" w:rsidRPr="00E21BEB" w:rsidRDefault="001E1795" w:rsidP="00F70D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7" w:type="dxa"/>
          </w:tcPr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3.1 Мониторинг с</w:t>
            </w:r>
            <w:r w:rsidR="00904CFA" w:rsidRPr="00E21BEB">
              <w:rPr>
                <w:rFonts w:ascii="Times New Roman" w:hAnsi="Times New Roman"/>
                <w:szCs w:val="24"/>
              </w:rPr>
              <w:t>ведений о заключенных контрактах</w:t>
            </w:r>
            <w:r w:rsidRPr="00E21BEB">
              <w:rPr>
                <w:rFonts w:ascii="Times New Roman" w:hAnsi="Times New Roman"/>
                <w:szCs w:val="24"/>
              </w:rPr>
              <w:t xml:space="preserve"> со студентами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ЧелГМУ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по направлению администрации города согласно данным Управления образования администрации Чебаркульского городского округа.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3.2 Проведение агита</w:t>
            </w:r>
            <w:r w:rsidR="00904CFA" w:rsidRPr="00E21BEB">
              <w:rPr>
                <w:rFonts w:ascii="Times New Roman" w:hAnsi="Times New Roman"/>
                <w:szCs w:val="24"/>
              </w:rPr>
              <w:t xml:space="preserve">ционной работы со студентами </w:t>
            </w:r>
            <w:proofErr w:type="spellStart"/>
            <w:r w:rsidR="00904CFA" w:rsidRPr="00E21BEB">
              <w:rPr>
                <w:rFonts w:ascii="Times New Roman" w:hAnsi="Times New Roman"/>
                <w:szCs w:val="24"/>
              </w:rPr>
              <w:t>Чел</w:t>
            </w:r>
            <w:r w:rsidRPr="00E21BEB">
              <w:rPr>
                <w:rFonts w:ascii="Times New Roman" w:hAnsi="Times New Roman"/>
                <w:szCs w:val="24"/>
              </w:rPr>
              <w:t>ГМУ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, проживающими в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Чебаркуле.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3.3 Заключение договоров с выпускниками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ЧелГМУ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на прохождение интернатуры; заключение целевых контрактов со студентами 4-6 курсов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ЧелГМУ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на подготовку специалистов с высшим образованием, при условии отработки не менее пяти лет в ГБУЗ «Областная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3.4 Участие при распределении выпускников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ЧелГМУ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Миасского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медицинского училища.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3.5 Обновление информации о потребности в специалистах с медицинским образованием, размещенной на сайте ГБУЗ «Областная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Чебаркуль», Минздрава Челябинской области, ТФОМС Челябинской области, предоставление сведений в Центр занятости г. Чебаркуля.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3.6 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Профориентационная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работа в образовательных учреждениях города: лекции, экскурсии в отделения больницы.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3.7 Представление на награждение ведомственными наградами Минздрава РФ, Минздрава Челябинской области, ТФОМС Челябинской области, Главы городского округа, Собрания депутатов городского округа, главного врача.</w:t>
            </w: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18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Обеспеченность населения врачами</w:t>
            </w:r>
          </w:p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2020-2022гг.</w:t>
            </w:r>
          </w:p>
        </w:tc>
        <w:tc>
          <w:tcPr>
            <w:tcW w:w="2329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ГБУЗ «Областная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</w:tbl>
    <w:p w:rsidR="001E1795" w:rsidRPr="00E21BEB" w:rsidRDefault="001E1795" w:rsidP="000052D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W w:w="15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14"/>
        <w:gridCol w:w="1175"/>
        <w:gridCol w:w="4941"/>
        <w:gridCol w:w="1255"/>
        <w:gridCol w:w="1893"/>
        <w:gridCol w:w="2836"/>
      </w:tblGrid>
      <w:tr w:rsidR="001E1795" w:rsidRPr="00E21BEB" w:rsidTr="00FC1487">
        <w:trPr>
          <w:trHeight w:val="1858"/>
        </w:trPr>
        <w:tc>
          <w:tcPr>
            <w:tcW w:w="568" w:type="dxa"/>
            <w:vAlign w:val="center"/>
          </w:tcPr>
          <w:p w:rsidR="001E1795" w:rsidRPr="00E21BEB" w:rsidRDefault="001E1795" w:rsidP="00FC14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21BE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814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Наименование показателя (индикатора)</w:t>
            </w:r>
          </w:p>
        </w:tc>
        <w:tc>
          <w:tcPr>
            <w:tcW w:w="1175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Ед. измерен</w:t>
            </w:r>
            <w:r w:rsidR="000052DE"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4941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Определение показателя (индикатора)</w:t>
            </w:r>
          </w:p>
        </w:tc>
        <w:tc>
          <w:tcPr>
            <w:tcW w:w="1255" w:type="dxa"/>
          </w:tcPr>
          <w:p w:rsidR="000052DE" w:rsidRDefault="000052DE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0052DE" w:rsidRDefault="000052DE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Источник</w:t>
            </w:r>
          </w:p>
        </w:tc>
        <w:tc>
          <w:tcPr>
            <w:tcW w:w="1893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836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1BEB">
              <w:rPr>
                <w:rFonts w:ascii="Times New Roman" w:hAnsi="Times New Roman"/>
                <w:szCs w:val="24"/>
              </w:rPr>
              <w:t xml:space="preserve">Ответственный за сбор и предоставление </w:t>
            </w:r>
            <w:proofErr w:type="gramEnd"/>
          </w:p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данных по целевому показателю</w:t>
            </w:r>
          </w:p>
        </w:tc>
      </w:tr>
      <w:tr w:rsidR="001E1795" w:rsidRPr="00E21BEB" w:rsidTr="00FC1487">
        <w:trPr>
          <w:trHeight w:val="563"/>
        </w:trPr>
        <w:tc>
          <w:tcPr>
            <w:tcW w:w="568" w:type="dxa"/>
            <w:vAlign w:val="center"/>
          </w:tcPr>
          <w:p w:rsidR="001E1795" w:rsidRPr="00E21BEB" w:rsidRDefault="001E1795" w:rsidP="00FC14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 предоставленных жилых помещений  на условиях коммерческого найма для привлекаемых на работу в ГБУЗ «Областная больница г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ебаркуль» специалистов с  медицинским образованием</w:t>
            </w:r>
          </w:p>
        </w:tc>
        <w:tc>
          <w:tcPr>
            <w:tcW w:w="1175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4941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 предоставленных жилых помещений определяется на основании числа заключенных договоров коммерческого найма со специалистами с  медицинским образованием, трудоустроенными в ГБУЗ «Областная больница г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ебаркуль»</w:t>
            </w:r>
          </w:p>
        </w:tc>
        <w:tc>
          <w:tcPr>
            <w:tcW w:w="1255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Договор</w:t>
            </w:r>
          </w:p>
        </w:tc>
        <w:tc>
          <w:tcPr>
            <w:tcW w:w="1893" w:type="dxa"/>
            <w:vAlign w:val="center"/>
          </w:tcPr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2016 – 2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2017- 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 </w:t>
            </w:r>
            <w:r w:rsidRPr="00E21BEB">
              <w:rPr>
                <w:rFonts w:ascii="Times New Roman" w:hAnsi="Times New Roman"/>
                <w:szCs w:val="24"/>
              </w:rPr>
              <w:t>4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2018 - 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</w:t>
            </w:r>
            <w:r w:rsidRPr="00E21BEB">
              <w:rPr>
                <w:rFonts w:ascii="Times New Roman" w:hAnsi="Times New Roman"/>
                <w:szCs w:val="24"/>
              </w:rPr>
              <w:t>0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2019 - 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</w:t>
            </w:r>
            <w:r w:rsidRPr="00E21BEB">
              <w:rPr>
                <w:rFonts w:ascii="Times New Roman" w:hAnsi="Times New Roman"/>
                <w:szCs w:val="24"/>
              </w:rPr>
              <w:t>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2020 - 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</w:t>
            </w:r>
            <w:r w:rsidRPr="00E21BEB">
              <w:rPr>
                <w:rFonts w:ascii="Times New Roman" w:hAnsi="Times New Roman"/>
                <w:szCs w:val="24"/>
              </w:rPr>
              <w:t>2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2021- 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 </w:t>
            </w:r>
            <w:r w:rsidRPr="00E21BEB">
              <w:rPr>
                <w:rFonts w:ascii="Times New Roman" w:hAnsi="Times New Roman"/>
                <w:szCs w:val="24"/>
              </w:rPr>
              <w:t>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2022 -</w:t>
            </w:r>
            <w:r w:rsidR="006F3048" w:rsidRPr="00E21BEB">
              <w:rPr>
                <w:rFonts w:ascii="Times New Roman" w:hAnsi="Times New Roman"/>
                <w:szCs w:val="24"/>
              </w:rPr>
              <w:t xml:space="preserve">  </w:t>
            </w: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</w:tr>
      <w:tr w:rsidR="001E1795" w:rsidRPr="00E21BEB" w:rsidTr="00FC1487">
        <w:trPr>
          <w:trHeight w:val="563"/>
        </w:trPr>
        <w:tc>
          <w:tcPr>
            <w:tcW w:w="568" w:type="dxa"/>
            <w:vAlign w:val="center"/>
          </w:tcPr>
          <w:p w:rsidR="001E1795" w:rsidRPr="00E21BEB" w:rsidRDefault="001E1795" w:rsidP="00FC14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 молодых специалистов с медицинским образованием, получивших подъемные</w:t>
            </w:r>
          </w:p>
        </w:tc>
        <w:tc>
          <w:tcPr>
            <w:tcW w:w="1175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4941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молодых специалистов, получивших подъемные определяется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 xml:space="preserve"> на основании количества заключенных соглашений о предоставлении социальных выплат специалистам с медицинским  образованием</w:t>
            </w:r>
          </w:p>
        </w:tc>
        <w:tc>
          <w:tcPr>
            <w:tcW w:w="1255" w:type="dxa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Соглашение</w:t>
            </w:r>
          </w:p>
        </w:tc>
        <w:tc>
          <w:tcPr>
            <w:tcW w:w="1893" w:type="dxa"/>
            <w:vAlign w:val="center"/>
          </w:tcPr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2016 – 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2017  -1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2018 - 1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2019 - 4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 – 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2021 – 1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2022 - </w:t>
            </w:r>
            <w:r w:rsidR="00C40E22" w:rsidRPr="00E21BEB">
              <w:rPr>
                <w:rFonts w:ascii="Times New Roman" w:hAnsi="Times New Roman"/>
                <w:szCs w:val="24"/>
              </w:rPr>
              <w:t xml:space="preserve"> </w:t>
            </w: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Администрация Чебаркульского городского округа</w:t>
            </w:r>
          </w:p>
        </w:tc>
      </w:tr>
      <w:tr w:rsidR="001E1795" w:rsidRPr="00E21BEB" w:rsidTr="00FC1487">
        <w:trPr>
          <w:trHeight w:val="563"/>
        </w:trPr>
        <w:tc>
          <w:tcPr>
            <w:tcW w:w="568" w:type="dxa"/>
            <w:vAlign w:val="center"/>
          </w:tcPr>
          <w:p w:rsidR="001E1795" w:rsidRPr="00E21BEB" w:rsidRDefault="001E1795" w:rsidP="00FC14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Обеспеченность населения врачами</w:t>
            </w:r>
          </w:p>
        </w:tc>
        <w:tc>
          <w:tcPr>
            <w:tcW w:w="1175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Чел. на 10 тыс. населения</w:t>
            </w:r>
          </w:p>
        </w:tc>
        <w:tc>
          <w:tcPr>
            <w:tcW w:w="4941" w:type="dxa"/>
            <w:vAlign w:val="center"/>
          </w:tcPr>
          <w:p w:rsidR="001E1795" w:rsidRPr="00E21BEB" w:rsidRDefault="001E1795" w:rsidP="000052DE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Отношение количества врачей (физ. лиц) по данным годовой статистической отчетности форма -30 к численности населения по данным годовой статистической отчетности на 10 тысяч населения</w:t>
            </w:r>
          </w:p>
        </w:tc>
        <w:tc>
          <w:tcPr>
            <w:tcW w:w="1255" w:type="dxa"/>
          </w:tcPr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0052DE">
            <w:pPr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Статистические данные</w:t>
            </w:r>
          </w:p>
        </w:tc>
        <w:tc>
          <w:tcPr>
            <w:tcW w:w="1893" w:type="dxa"/>
            <w:vAlign w:val="center"/>
          </w:tcPr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2016 -</w:t>
            </w:r>
            <w:r w:rsidR="00C40E22" w:rsidRPr="00E21BEB">
              <w:rPr>
                <w:rFonts w:ascii="Times New Roman" w:hAnsi="Times New Roman"/>
                <w:szCs w:val="24"/>
              </w:rPr>
              <w:t xml:space="preserve"> </w:t>
            </w:r>
            <w:r w:rsidRPr="00E21BEB">
              <w:rPr>
                <w:rFonts w:ascii="Times New Roman" w:hAnsi="Times New Roman"/>
                <w:szCs w:val="24"/>
              </w:rPr>
              <w:t>21,7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2017 - 22,0</w:t>
            </w:r>
          </w:p>
          <w:p w:rsidR="001E1795" w:rsidRPr="00E21BEB" w:rsidRDefault="000052DE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2018 - </w:t>
            </w:r>
            <w:r w:rsidR="001E1795" w:rsidRPr="00E21BEB">
              <w:rPr>
                <w:rFonts w:ascii="Times New Roman" w:hAnsi="Times New Roman"/>
                <w:szCs w:val="24"/>
              </w:rPr>
              <w:t xml:space="preserve"> 22,2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2019 – 22,4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 – 22,6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2021 – 22,8</w:t>
            </w:r>
          </w:p>
          <w:p w:rsidR="001E1795" w:rsidRPr="00E21BEB" w:rsidRDefault="001E1795" w:rsidP="000052DE">
            <w:pPr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2022 -  23,0</w:t>
            </w:r>
          </w:p>
        </w:tc>
        <w:tc>
          <w:tcPr>
            <w:tcW w:w="2836" w:type="dxa"/>
            <w:vAlign w:val="center"/>
          </w:tcPr>
          <w:p w:rsidR="001E1795" w:rsidRPr="00E21BEB" w:rsidRDefault="001E1795" w:rsidP="000052D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</w:tbl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Существуют следующие риски не достижения показателей (индикативов):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- внешние риски, обусловленные отсутствием вновь трудоустроенных специалистов с медицинским образованием, так как при выборе  выпускником учреждения здравоохранения для трудоустройства имеется ряд муниципальных образований с более высокой суммой подъемных выплат;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- внутренние риски, обусловленные отсутствием финансирования за счет средств местного бюджета, а также отсутствием жилого фонда в муниципалитете для предоставления жилых помещений на условиях коммерческого найма специалистам с  медицинским образованием.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FA" w:rsidRPr="00E21BEB" w:rsidRDefault="00904CFA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D6C" w:rsidRPr="00E21BEB" w:rsidRDefault="007A7D6C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D6C" w:rsidRPr="00E21BEB" w:rsidRDefault="007A7D6C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D6C" w:rsidRPr="00E21BEB" w:rsidRDefault="007A7D6C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D6C" w:rsidRPr="00E21BEB" w:rsidRDefault="007A7D6C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5. Ресурсное обеспечение муниципальной  программы</w:t>
      </w:r>
    </w:p>
    <w:p w:rsidR="001E1795" w:rsidRPr="00E21BEB" w:rsidRDefault="001E1795" w:rsidP="009A43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1795" w:rsidRPr="00E21BEB" w:rsidRDefault="001E1795" w:rsidP="009A4349">
      <w:pPr>
        <w:pStyle w:val="ConsPlusNormal"/>
        <w:ind w:right="-31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21BEB">
        <w:rPr>
          <w:rFonts w:ascii="Times New Roman" w:hAnsi="Times New Roman" w:cs="Times New Roman"/>
          <w:sz w:val="28"/>
          <w:szCs w:val="28"/>
          <w:lang w:eastAsia="en-US"/>
        </w:rPr>
        <w:t>Бюджетные ассигнования и иные средства, направленные на выполнение мероприятий муниципальной программы</w:t>
      </w:r>
    </w:p>
    <w:p w:rsidR="001E1795" w:rsidRPr="00E21BEB" w:rsidRDefault="001E1795" w:rsidP="009A4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962"/>
        <w:gridCol w:w="2694"/>
        <w:gridCol w:w="1701"/>
        <w:gridCol w:w="1134"/>
        <w:gridCol w:w="1370"/>
        <w:gridCol w:w="1370"/>
        <w:gridCol w:w="1371"/>
      </w:tblGrid>
      <w:tr w:rsidR="001E1795" w:rsidRPr="00E21BEB" w:rsidTr="00FC1487">
        <w:trPr>
          <w:trHeight w:val="565"/>
        </w:trPr>
        <w:tc>
          <w:tcPr>
            <w:tcW w:w="567" w:type="dxa"/>
            <w:vMerge w:val="restart"/>
            <w:vAlign w:val="center"/>
          </w:tcPr>
          <w:p w:rsidR="001E1795" w:rsidRPr="00E21BEB" w:rsidRDefault="00FC1487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E1795" w:rsidRPr="00E2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E1795" w:rsidRPr="00E21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E1795" w:rsidRPr="00E21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1E1795" w:rsidRPr="00E21BEB" w:rsidRDefault="001E1795" w:rsidP="009A4349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1795" w:rsidRPr="00E21BEB" w:rsidRDefault="001E1795" w:rsidP="009A4349">
            <w:pPr>
              <w:pStyle w:val="ConsPlusNormal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111" w:type="dxa"/>
            <w:gridSpan w:val="3"/>
            <w:vAlign w:val="center"/>
          </w:tcPr>
          <w:p w:rsidR="001E1795" w:rsidRPr="00E21BEB" w:rsidRDefault="001E1795" w:rsidP="009A43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1E1795" w:rsidRPr="00E21BEB" w:rsidRDefault="001E1795" w:rsidP="009A43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E1795" w:rsidRPr="00E21BEB" w:rsidTr="00FC1487">
        <w:trPr>
          <w:trHeight w:val="1213"/>
        </w:trPr>
        <w:tc>
          <w:tcPr>
            <w:tcW w:w="567" w:type="dxa"/>
            <w:vMerge/>
            <w:vAlign w:val="center"/>
          </w:tcPr>
          <w:p w:rsidR="001E1795" w:rsidRPr="00E21BEB" w:rsidRDefault="001E1795" w:rsidP="009A43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1795" w:rsidRPr="00E21BEB" w:rsidRDefault="001E1795" w:rsidP="009A43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70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1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1795" w:rsidRPr="00E21BEB" w:rsidTr="00FC1487">
        <w:trPr>
          <w:trHeight w:val="203"/>
        </w:trPr>
        <w:tc>
          <w:tcPr>
            <w:tcW w:w="567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1E1795" w:rsidRPr="00E21BEB" w:rsidRDefault="001E1795" w:rsidP="00FC1487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vAlign w:val="center"/>
          </w:tcPr>
          <w:p w:rsidR="001E1795" w:rsidRPr="00E21BEB" w:rsidRDefault="001E1795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2DE" w:rsidRPr="00E21BEB" w:rsidTr="00FC1487">
        <w:trPr>
          <w:trHeight w:val="318"/>
        </w:trPr>
        <w:tc>
          <w:tcPr>
            <w:tcW w:w="567" w:type="dxa"/>
            <w:vMerge w:val="restart"/>
          </w:tcPr>
          <w:p w:rsidR="000052DE" w:rsidRPr="00E21BEB" w:rsidRDefault="00FC1487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«Медицинские кадры на территории Чебаркульского городского округа» на 2020-2022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694" w:type="dxa"/>
            <w:vMerge w:val="restart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DE" w:rsidRPr="00E21BEB" w:rsidRDefault="000052DE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  <w:tc>
          <w:tcPr>
            <w:tcW w:w="1371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</w:tr>
      <w:tr w:rsidR="000052DE" w:rsidRPr="00E21BEB" w:rsidTr="00FC1487">
        <w:trPr>
          <w:trHeight w:val="318"/>
        </w:trPr>
        <w:tc>
          <w:tcPr>
            <w:tcW w:w="567" w:type="dxa"/>
            <w:vMerge/>
            <w:vAlign w:val="center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0052DE" w:rsidRPr="00E21BEB" w:rsidRDefault="000052DE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DE" w:rsidRPr="00E21BEB" w:rsidRDefault="000052DE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ФБ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DE" w:rsidRPr="00E21BEB" w:rsidTr="00FC1487">
        <w:trPr>
          <w:trHeight w:val="318"/>
        </w:trPr>
        <w:tc>
          <w:tcPr>
            <w:tcW w:w="567" w:type="dxa"/>
            <w:vMerge/>
            <w:vAlign w:val="center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0052DE" w:rsidRPr="00E21BEB" w:rsidRDefault="000052DE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DE" w:rsidRPr="00E21BEB" w:rsidRDefault="000052DE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052DE" w:rsidRPr="00E21BEB" w:rsidRDefault="000052DE" w:rsidP="00FC14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DE" w:rsidRPr="00E21BEB" w:rsidTr="00FC1487">
        <w:trPr>
          <w:trHeight w:val="318"/>
        </w:trPr>
        <w:tc>
          <w:tcPr>
            <w:tcW w:w="567" w:type="dxa"/>
            <w:vMerge/>
            <w:vAlign w:val="center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0052DE" w:rsidRPr="00E21BEB" w:rsidRDefault="000052DE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DE" w:rsidRPr="00E21BEB" w:rsidRDefault="000052DE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  <w:tc>
          <w:tcPr>
            <w:tcW w:w="1371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</w:tr>
      <w:tr w:rsidR="000052DE" w:rsidRPr="00E21BEB" w:rsidTr="00FC1487">
        <w:trPr>
          <w:trHeight w:val="319"/>
        </w:trPr>
        <w:tc>
          <w:tcPr>
            <w:tcW w:w="567" w:type="dxa"/>
            <w:vMerge/>
            <w:vAlign w:val="center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0052DE" w:rsidRPr="00E21BEB" w:rsidRDefault="000052DE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2DE" w:rsidRPr="00E21BEB" w:rsidRDefault="000052DE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DE" w:rsidRPr="00E21BEB" w:rsidRDefault="000052DE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  <w:tc>
          <w:tcPr>
            <w:tcW w:w="1370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  <w:tc>
          <w:tcPr>
            <w:tcW w:w="1371" w:type="dxa"/>
          </w:tcPr>
          <w:p w:rsidR="000052DE" w:rsidRPr="00E21BEB" w:rsidRDefault="000052DE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</w:tr>
      <w:tr w:rsidR="009A4349" w:rsidRPr="00E21BEB" w:rsidTr="00FC1487">
        <w:trPr>
          <w:trHeight w:val="319"/>
        </w:trPr>
        <w:tc>
          <w:tcPr>
            <w:tcW w:w="567" w:type="dxa"/>
            <w:vMerge w:val="restart"/>
            <w:vAlign w:val="center"/>
          </w:tcPr>
          <w:p w:rsidR="009A4349" w:rsidRPr="00E21BEB" w:rsidRDefault="00FC1487" w:rsidP="00FC148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62" w:type="dxa"/>
            <w:vMerge w:val="restart"/>
            <w:vAlign w:val="center"/>
          </w:tcPr>
          <w:p w:rsidR="009A4349" w:rsidRPr="00E21BEB" w:rsidRDefault="009A4349" w:rsidP="009A4349">
            <w:pPr>
              <w:jc w:val="both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Предоставление жилых помещений  специалистам с медицинским образованием по договорам коммерческого найма жилого  помещения</w:t>
            </w:r>
          </w:p>
        </w:tc>
        <w:tc>
          <w:tcPr>
            <w:tcW w:w="2694" w:type="dxa"/>
            <w:vMerge w:val="restart"/>
          </w:tcPr>
          <w:p w:rsidR="009A4349" w:rsidRPr="00E21BEB" w:rsidRDefault="009A4349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  <w:tc>
          <w:tcPr>
            <w:tcW w:w="1701" w:type="dxa"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349" w:rsidRPr="00E21BEB" w:rsidRDefault="009A4349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70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0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1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A4349" w:rsidRPr="00E21BEB" w:rsidTr="00FC1487">
        <w:trPr>
          <w:trHeight w:val="319"/>
        </w:trPr>
        <w:tc>
          <w:tcPr>
            <w:tcW w:w="567" w:type="dxa"/>
            <w:vMerge/>
            <w:vAlign w:val="center"/>
          </w:tcPr>
          <w:p w:rsidR="009A4349" w:rsidRPr="00E21BEB" w:rsidRDefault="009A4349" w:rsidP="00FC148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A4349" w:rsidRPr="00E21BEB" w:rsidRDefault="009A4349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349" w:rsidRPr="00E21BEB" w:rsidRDefault="009A4349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ФБ</w:t>
            </w:r>
          </w:p>
        </w:tc>
        <w:tc>
          <w:tcPr>
            <w:tcW w:w="1370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0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1" w:type="dxa"/>
          </w:tcPr>
          <w:p w:rsidR="009A4349" w:rsidRPr="00E21BEB" w:rsidRDefault="009A434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A4349" w:rsidRPr="00E21BEB" w:rsidTr="00FC1487">
        <w:trPr>
          <w:trHeight w:val="319"/>
        </w:trPr>
        <w:tc>
          <w:tcPr>
            <w:tcW w:w="567" w:type="dxa"/>
            <w:vMerge/>
            <w:vAlign w:val="center"/>
          </w:tcPr>
          <w:p w:rsidR="009A4349" w:rsidRPr="00E21BEB" w:rsidRDefault="009A4349" w:rsidP="00FC148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A4349" w:rsidRPr="00E21BEB" w:rsidRDefault="009A4349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349" w:rsidRPr="00E21BEB" w:rsidRDefault="009A4349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1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A4349" w:rsidRPr="00E21BEB" w:rsidTr="00FC1487">
        <w:trPr>
          <w:trHeight w:val="319"/>
        </w:trPr>
        <w:tc>
          <w:tcPr>
            <w:tcW w:w="567" w:type="dxa"/>
            <w:vMerge/>
            <w:vAlign w:val="center"/>
          </w:tcPr>
          <w:p w:rsidR="009A4349" w:rsidRPr="00E21BEB" w:rsidRDefault="009A4349" w:rsidP="00FC148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A4349" w:rsidRPr="00E21BEB" w:rsidRDefault="009A4349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349" w:rsidRPr="00E21BEB" w:rsidRDefault="009A4349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1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A4349" w:rsidRPr="00E21BEB" w:rsidTr="00FC1487">
        <w:trPr>
          <w:trHeight w:val="319"/>
        </w:trPr>
        <w:tc>
          <w:tcPr>
            <w:tcW w:w="567" w:type="dxa"/>
            <w:vMerge/>
            <w:vAlign w:val="center"/>
          </w:tcPr>
          <w:p w:rsidR="009A4349" w:rsidRPr="00E21BEB" w:rsidRDefault="009A4349" w:rsidP="00FC148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A4349" w:rsidRPr="00E21BEB" w:rsidRDefault="009A4349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49" w:rsidRPr="00E21BEB" w:rsidRDefault="009A4349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349" w:rsidRPr="00E21BEB" w:rsidRDefault="009A4349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0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71" w:type="dxa"/>
          </w:tcPr>
          <w:p w:rsidR="009A4349" w:rsidRPr="00E21BEB" w:rsidRDefault="009A4349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E1795" w:rsidRPr="00E21BEB" w:rsidTr="00FC1487">
        <w:trPr>
          <w:trHeight w:val="291"/>
        </w:trPr>
        <w:tc>
          <w:tcPr>
            <w:tcW w:w="567" w:type="dxa"/>
            <w:vMerge w:val="restart"/>
          </w:tcPr>
          <w:p w:rsidR="001E1795" w:rsidRPr="00E21BEB" w:rsidRDefault="00FC1487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vMerge w:val="restart"/>
          </w:tcPr>
          <w:p w:rsidR="001E1795" w:rsidRPr="00E21BEB" w:rsidRDefault="001E1795" w:rsidP="009A4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единовременных социальных выплат (подъемных)  специалистам с медицинским образованием, </w:t>
            </w:r>
            <w:r w:rsidR="00837782"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трудоустроенным в ГБУЗ «Областная  больница </w:t>
            </w:r>
            <w:proofErr w:type="gramStart"/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. Чебаркуль» </w:t>
            </w:r>
          </w:p>
        </w:tc>
        <w:tc>
          <w:tcPr>
            <w:tcW w:w="2694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70" w:type="dxa"/>
          </w:tcPr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  <w:tc>
          <w:tcPr>
            <w:tcW w:w="1370" w:type="dxa"/>
          </w:tcPr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  <w:tc>
          <w:tcPr>
            <w:tcW w:w="1371" w:type="dxa"/>
          </w:tcPr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130000,0</w:t>
            </w:r>
          </w:p>
        </w:tc>
      </w:tr>
      <w:tr w:rsidR="001E1795" w:rsidRPr="00E21BEB" w:rsidTr="00FC1487">
        <w:trPr>
          <w:trHeight w:val="291"/>
        </w:trPr>
        <w:tc>
          <w:tcPr>
            <w:tcW w:w="567" w:type="dxa"/>
            <w:vMerge/>
            <w:vAlign w:val="center"/>
          </w:tcPr>
          <w:p w:rsidR="001E1795" w:rsidRPr="00E21BEB" w:rsidRDefault="001E1795" w:rsidP="009A4349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E1795" w:rsidRPr="00E21BEB" w:rsidRDefault="001E1795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ФБ</w:t>
            </w:r>
          </w:p>
        </w:tc>
        <w:tc>
          <w:tcPr>
            <w:tcW w:w="1370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95" w:rsidRPr="00E21BEB" w:rsidTr="00FC1487">
        <w:trPr>
          <w:trHeight w:val="292"/>
        </w:trPr>
        <w:tc>
          <w:tcPr>
            <w:tcW w:w="567" w:type="dxa"/>
            <w:vMerge/>
            <w:vAlign w:val="center"/>
          </w:tcPr>
          <w:p w:rsidR="001E1795" w:rsidRPr="00E21BEB" w:rsidRDefault="001E1795" w:rsidP="009A4349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E1795" w:rsidRPr="00E21BEB" w:rsidRDefault="001E1795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</w:t>
            </w:r>
          </w:p>
        </w:tc>
        <w:tc>
          <w:tcPr>
            <w:tcW w:w="1370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E1795" w:rsidRPr="00E21BEB" w:rsidRDefault="001E1795" w:rsidP="009A43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95" w:rsidRPr="00E21BEB" w:rsidTr="00FC1487">
        <w:trPr>
          <w:trHeight w:val="291"/>
        </w:trPr>
        <w:tc>
          <w:tcPr>
            <w:tcW w:w="567" w:type="dxa"/>
            <w:vMerge/>
            <w:vAlign w:val="center"/>
          </w:tcPr>
          <w:p w:rsidR="001E1795" w:rsidRPr="00E21BEB" w:rsidRDefault="001E1795" w:rsidP="009A4349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E1795" w:rsidRPr="00E21BEB" w:rsidRDefault="001E1795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1E1795" w:rsidRPr="00E21BEB" w:rsidRDefault="001E1795" w:rsidP="00F70D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1701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43509094110679033360 (290)</w:t>
            </w: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МБ</w:t>
            </w:r>
          </w:p>
        </w:tc>
        <w:tc>
          <w:tcPr>
            <w:tcW w:w="1370" w:type="dxa"/>
          </w:tcPr>
          <w:p w:rsidR="00474B8B" w:rsidRPr="00E21BEB" w:rsidRDefault="00474B8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  <w:tc>
          <w:tcPr>
            <w:tcW w:w="1370" w:type="dxa"/>
          </w:tcPr>
          <w:p w:rsidR="00474B8B" w:rsidRPr="00E21BEB" w:rsidRDefault="00474B8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  <w:tc>
          <w:tcPr>
            <w:tcW w:w="1371" w:type="dxa"/>
          </w:tcPr>
          <w:p w:rsidR="00474B8B" w:rsidRPr="00E21BEB" w:rsidRDefault="00474B8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100000,0</w:t>
            </w:r>
          </w:p>
        </w:tc>
      </w:tr>
      <w:tr w:rsidR="001E1795" w:rsidRPr="00E21BEB" w:rsidTr="00FC1487">
        <w:trPr>
          <w:trHeight w:val="292"/>
        </w:trPr>
        <w:tc>
          <w:tcPr>
            <w:tcW w:w="567" w:type="dxa"/>
            <w:vMerge/>
            <w:vAlign w:val="center"/>
          </w:tcPr>
          <w:p w:rsidR="001E1795" w:rsidRPr="00E21BEB" w:rsidRDefault="001E1795" w:rsidP="009A4349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E1795" w:rsidRPr="00E21BEB" w:rsidRDefault="001E1795" w:rsidP="009A43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1E1795" w:rsidRPr="00E21BEB" w:rsidRDefault="001E1795" w:rsidP="00F70D0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«Областная больница </w:t>
            </w:r>
            <w:proofErr w:type="gramStart"/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. Чебаркуль»</w:t>
            </w:r>
          </w:p>
        </w:tc>
        <w:tc>
          <w:tcPr>
            <w:tcW w:w="1701" w:type="dxa"/>
          </w:tcPr>
          <w:p w:rsidR="001E1795" w:rsidRPr="00E21BEB" w:rsidRDefault="001E1795" w:rsidP="009A434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795" w:rsidRPr="00E21BEB" w:rsidRDefault="001E1795" w:rsidP="009A4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ВБ</w:t>
            </w:r>
          </w:p>
        </w:tc>
        <w:tc>
          <w:tcPr>
            <w:tcW w:w="1370" w:type="dxa"/>
          </w:tcPr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  <w:tc>
          <w:tcPr>
            <w:tcW w:w="1370" w:type="dxa"/>
          </w:tcPr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  <w:tc>
          <w:tcPr>
            <w:tcW w:w="1371" w:type="dxa"/>
          </w:tcPr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742AB" w:rsidRPr="00E21BEB" w:rsidRDefault="00D742AB" w:rsidP="009A434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E1795" w:rsidRPr="00E21BEB" w:rsidRDefault="001E1795" w:rsidP="009A4349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30000,0</w:t>
            </w:r>
          </w:p>
        </w:tc>
      </w:tr>
    </w:tbl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  <w:sectPr w:rsidR="001E1795" w:rsidRPr="00E21BEB" w:rsidSect="007A7D6C">
          <w:pgSz w:w="16838" w:h="11906" w:orient="landscape" w:code="9"/>
          <w:pgMar w:top="1134" w:right="567" w:bottom="851" w:left="1134" w:header="720" w:footer="0" w:gutter="0"/>
          <w:cols w:space="720"/>
        </w:sectPr>
      </w:pP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на 2020-2022 гг. составляет 390 000 рублей, в т.ч. за счет местного бюджета 300 000 рублей, за счет внебюджетных средств 90000  рублей. 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По годам: </w:t>
      </w:r>
    </w:p>
    <w:p w:rsidR="001E1795" w:rsidRPr="00E21BEB" w:rsidRDefault="001E1795" w:rsidP="009A4349">
      <w:pPr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2020 год – 130 000 рублей, в т. ч. местный бюджет 100 000 рублей, внебюджетные средства – 30 000 рублей;</w:t>
      </w:r>
    </w:p>
    <w:p w:rsidR="001E1795" w:rsidRPr="00E21BEB" w:rsidRDefault="001E1795" w:rsidP="009A4349">
      <w:pPr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2021 год – 130 000 рублей, в т. ч. местный бюджет 100 000 рублей, внебюджетные средства – 30 000 рублей;</w:t>
      </w:r>
    </w:p>
    <w:p w:rsidR="001E1795" w:rsidRPr="00E21BEB" w:rsidRDefault="001E1795" w:rsidP="009A4349">
      <w:pPr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2022 год – 130 000 рублей, в т. ч. местный бюджет 100 000 рублей, внебюджетные средства – 30 000 рублей.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6. Организация управления и механизм реализации муниципальной программы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программы. 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В целях контроля реализации муниципальной программы исполнитель муниципальной программы в срок до 30 числа месяца, следующего за отчетным кварталом, осуществляет мониторинг реализации муниципальной  программы. 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3" w:history="1">
        <w:r w:rsidRPr="00E21BEB">
          <w:rPr>
            <w:rFonts w:ascii="Times New Roman" w:hAnsi="Times New Roman"/>
            <w:sz w:val="28"/>
            <w:szCs w:val="28"/>
          </w:rPr>
          <w:t>форме</w:t>
        </w:r>
      </w:hyperlink>
      <w:r w:rsidRPr="00E21BEB">
        <w:rPr>
          <w:rFonts w:ascii="Times New Roman" w:hAnsi="Times New Roman"/>
          <w:sz w:val="28"/>
          <w:szCs w:val="28"/>
        </w:rPr>
        <w:t xml:space="preserve">. 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</w:t>
      </w:r>
      <w:proofErr w:type="gramStart"/>
      <w:r w:rsidRPr="00E21BEB">
        <w:rPr>
          <w:rFonts w:ascii="Times New Roman" w:hAnsi="Times New Roman"/>
          <w:sz w:val="28"/>
          <w:szCs w:val="28"/>
        </w:rPr>
        <w:t>реализации мероприятий плана реализации муниципальной программы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1E1795" w:rsidRPr="00E21BEB" w:rsidRDefault="00904CFA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"/>
      <w:bookmarkEnd w:id="0"/>
      <w:r w:rsidRPr="00E21BEB">
        <w:rPr>
          <w:rFonts w:ascii="Times New Roman" w:hAnsi="Times New Roman"/>
          <w:sz w:val="28"/>
          <w:szCs w:val="28"/>
        </w:rPr>
        <w:t>Соисполнитель</w:t>
      </w:r>
      <w:r w:rsidR="001E1795" w:rsidRPr="00E21BEB">
        <w:rPr>
          <w:rFonts w:ascii="Times New Roman" w:hAnsi="Times New Roman"/>
          <w:sz w:val="28"/>
          <w:szCs w:val="28"/>
        </w:rPr>
        <w:t xml:space="preserve"> муниципальной программы в пределах своей компетенции ежеквартально (за исключением IV квартала), до 15 числа месяца, следующего за отчетным кварталом, направляют ответственному исполнителю информацию для проведения мониторинга о хода реализации муниципальной программы.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Результаты мониторинга предоставляются координатору муниципальной программы.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ответственный </w:t>
      </w:r>
      <w:r w:rsidRPr="00E21BEB">
        <w:rPr>
          <w:rFonts w:ascii="Times New Roman" w:hAnsi="Times New Roman"/>
          <w:sz w:val="28"/>
          <w:szCs w:val="28"/>
        </w:rPr>
        <w:lastRenderedPageBreak/>
        <w:t>исполнитель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 в пределах утвержденных лимитов бюджетных ассигнований.</w:t>
      </w:r>
    </w:p>
    <w:p w:rsidR="001E1795" w:rsidRPr="00E21BEB" w:rsidRDefault="001E1795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муниципальной программы  совместно с соисполнителями и направляется в комитет по стратегическому развитию до 1 марта года, следующего </w:t>
      </w:r>
      <w:proofErr w:type="gramStart"/>
      <w:r w:rsidRPr="00E21BEB">
        <w:rPr>
          <w:rFonts w:ascii="Times New Roman" w:hAnsi="Times New Roman"/>
          <w:sz w:val="28"/>
          <w:szCs w:val="28"/>
        </w:rPr>
        <w:t>за</w:t>
      </w:r>
      <w:proofErr w:type="gramEnd"/>
      <w:r w:rsidRPr="00E21BEB">
        <w:rPr>
          <w:rFonts w:ascii="Times New Roman" w:hAnsi="Times New Roman"/>
          <w:sz w:val="28"/>
          <w:szCs w:val="28"/>
        </w:rPr>
        <w:t xml:space="preserve"> отчетным.</w:t>
      </w:r>
    </w:p>
    <w:p w:rsidR="00837782" w:rsidRPr="00E21BEB" w:rsidRDefault="00837782" w:rsidP="009A43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72C" w:rsidRPr="00E21BEB" w:rsidRDefault="00837782" w:rsidP="00FC148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Среднесрочный план реализации муниципальной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49"/>
        <w:gridCol w:w="2110"/>
        <w:gridCol w:w="3214"/>
      </w:tblGrid>
      <w:tr w:rsidR="005B272C" w:rsidRPr="00E21BEB" w:rsidTr="00FC1487">
        <w:tc>
          <w:tcPr>
            <w:tcW w:w="675" w:type="dxa"/>
            <w:vAlign w:val="center"/>
          </w:tcPr>
          <w:p w:rsidR="00837782" w:rsidRPr="00E21BEB" w:rsidRDefault="00837782" w:rsidP="00FC1487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№</w:t>
            </w:r>
            <w:r w:rsidR="00FC1487">
              <w:rPr>
                <w:rFonts w:ascii="Times New Roman" w:hAnsi="Times New Roman"/>
                <w:szCs w:val="24"/>
              </w:rPr>
              <w:t>№</w:t>
            </w:r>
            <w:r w:rsidRPr="00E21B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21BE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749" w:type="dxa"/>
            <w:vAlign w:val="center"/>
          </w:tcPr>
          <w:p w:rsidR="00837782" w:rsidRPr="00E21BEB" w:rsidRDefault="00837782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837782" w:rsidRPr="00E21BEB" w:rsidRDefault="00837782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Срок исполнения</w:t>
            </w:r>
          </w:p>
        </w:tc>
        <w:tc>
          <w:tcPr>
            <w:tcW w:w="3214" w:type="dxa"/>
            <w:vAlign w:val="center"/>
          </w:tcPr>
          <w:p w:rsidR="00837782" w:rsidRPr="00E21BEB" w:rsidRDefault="00837782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5B272C" w:rsidRPr="00E21BEB" w:rsidTr="00FC1487">
        <w:tc>
          <w:tcPr>
            <w:tcW w:w="675" w:type="dxa"/>
          </w:tcPr>
          <w:p w:rsidR="00837782" w:rsidRPr="00E21BEB" w:rsidRDefault="00837782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49" w:type="dxa"/>
          </w:tcPr>
          <w:p w:rsidR="00837782" w:rsidRPr="00E21BEB" w:rsidRDefault="007A7D6C" w:rsidP="00FC1487">
            <w:pPr>
              <w:tabs>
                <w:tab w:val="left" w:pos="0"/>
                <w:tab w:val="left" w:pos="418"/>
                <w:tab w:val="left" w:pos="447"/>
                <w:tab w:val="left" w:pos="615"/>
              </w:tabs>
              <w:ind w:right="21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Предоставление жилых помещений  специалистам с медицинским образованием по договорам коммерческого найма жилого  помещения</w:t>
            </w:r>
          </w:p>
        </w:tc>
        <w:tc>
          <w:tcPr>
            <w:tcW w:w="2110" w:type="dxa"/>
          </w:tcPr>
          <w:p w:rsidR="00837782" w:rsidRPr="00E21BEB" w:rsidRDefault="00837782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 течение финансового года (2020-2022 гг.)</w:t>
            </w:r>
          </w:p>
        </w:tc>
        <w:tc>
          <w:tcPr>
            <w:tcW w:w="3214" w:type="dxa"/>
          </w:tcPr>
          <w:p w:rsidR="00837782" w:rsidRPr="00E21BEB" w:rsidRDefault="00837782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</w:tr>
      <w:tr w:rsidR="005B272C" w:rsidRPr="00E21BEB" w:rsidTr="00FC1487">
        <w:tc>
          <w:tcPr>
            <w:tcW w:w="675" w:type="dxa"/>
          </w:tcPr>
          <w:p w:rsidR="00837782" w:rsidRPr="00E21BEB" w:rsidRDefault="007A7D6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49" w:type="dxa"/>
          </w:tcPr>
          <w:p w:rsidR="00837782" w:rsidRPr="00E21BEB" w:rsidRDefault="005B272C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Предоставление  единовременных социальных выплат (подъемных)  специалистам с  медицинским образованием, впервые трудоустроенным в 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  <w:tc>
          <w:tcPr>
            <w:tcW w:w="2110" w:type="dxa"/>
          </w:tcPr>
          <w:p w:rsidR="00837782" w:rsidRPr="00E21BEB" w:rsidRDefault="005B272C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 течение финансового года (2020-2022 гг.)</w:t>
            </w:r>
          </w:p>
        </w:tc>
        <w:tc>
          <w:tcPr>
            <w:tcW w:w="3214" w:type="dxa"/>
          </w:tcPr>
          <w:p w:rsidR="00837782" w:rsidRPr="00E21BEB" w:rsidRDefault="005B272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Администрация Чебаркульского городского округа</w:t>
            </w:r>
          </w:p>
        </w:tc>
      </w:tr>
      <w:tr w:rsidR="005B272C" w:rsidRPr="00E21BEB" w:rsidTr="00FC1487">
        <w:tc>
          <w:tcPr>
            <w:tcW w:w="675" w:type="dxa"/>
          </w:tcPr>
          <w:p w:rsidR="00837782" w:rsidRPr="00E21BEB" w:rsidRDefault="007A7D6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49" w:type="dxa"/>
            <w:vAlign w:val="center"/>
          </w:tcPr>
          <w:p w:rsidR="00837782" w:rsidRPr="00E21BEB" w:rsidRDefault="005B272C" w:rsidP="00FC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направленных на привлечение  специалистов с медицинским образованием в </w:t>
            </w:r>
            <w:r w:rsidRPr="00E21BEB">
              <w:rPr>
                <w:rFonts w:ascii="Times New Roman" w:hAnsi="Times New Roman"/>
                <w:sz w:val="24"/>
                <w:szCs w:val="24"/>
              </w:rPr>
              <w:t xml:space="preserve">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 w:val="24"/>
                <w:szCs w:val="24"/>
              </w:rPr>
              <w:t>. Чебаркуль»</w:t>
            </w:r>
          </w:p>
        </w:tc>
        <w:tc>
          <w:tcPr>
            <w:tcW w:w="2110" w:type="dxa"/>
          </w:tcPr>
          <w:p w:rsidR="00837782" w:rsidRPr="00E21BEB" w:rsidRDefault="005B272C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 течение финансового года (2020-2022 гг.)</w:t>
            </w:r>
          </w:p>
        </w:tc>
        <w:tc>
          <w:tcPr>
            <w:tcW w:w="3214" w:type="dxa"/>
          </w:tcPr>
          <w:p w:rsidR="00837782" w:rsidRPr="00E21BEB" w:rsidRDefault="005B272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  <w:tr w:rsidR="005B272C" w:rsidRPr="00E21BEB" w:rsidTr="00FC1487">
        <w:trPr>
          <w:trHeight w:val="388"/>
        </w:trPr>
        <w:tc>
          <w:tcPr>
            <w:tcW w:w="675" w:type="dxa"/>
          </w:tcPr>
          <w:p w:rsidR="00837782" w:rsidRPr="00E21BEB" w:rsidRDefault="007A7D6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49" w:type="dxa"/>
          </w:tcPr>
          <w:p w:rsidR="00837782" w:rsidRPr="00E21BEB" w:rsidRDefault="00837782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Мониторинг реализации мероприятий муниципальной программы</w:t>
            </w:r>
          </w:p>
        </w:tc>
        <w:tc>
          <w:tcPr>
            <w:tcW w:w="2110" w:type="dxa"/>
          </w:tcPr>
          <w:p w:rsidR="00837782" w:rsidRPr="00E21BEB" w:rsidRDefault="00837782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 срок до 30 числа месяца, следующего за отчетным кварталом</w:t>
            </w:r>
            <w:r w:rsidR="005B272C" w:rsidRPr="00E21BEB">
              <w:rPr>
                <w:rFonts w:ascii="Times New Roman" w:hAnsi="Times New Roman"/>
                <w:szCs w:val="24"/>
              </w:rPr>
              <w:t xml:space="preserve"> (ежеквартально 2020-2022гг.)</w:t>
            </w:r>
          </w:p>
        </w:tc>
        <w:tc>
          <w:tcPr>
            <w:tcW w:w="3214" w:type="dxa"/>
          </w:tcPr>
          <w:p w:rsidR="00837782" w:rsidRPr="00E21BEB" w:rsidRDefault="005B272C" w:rsidP="00FC148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21BEB">
              <w:rPr>
                <w:rFonts w:ascii="Times New Roman" w:hAnsi="Times New Roman"/>
                <w:szCs w:val="24"/>
              </w:rPr>
              <w:t>Администация</w:t>
            </w:r>
            <w:proofErr w:type="spellEnd"/>
            <w:r w:rsidRPr="00E21BEB">
              <w:rPr>
                <w:rFonts w:ascii="Times New Roman" w:hAnsi="Times New Roman"/>
                <w:szCs w:val="24"/>
              </w:rPr>
              <w:t xml:space="preserve"> Чебаркульского городского округа, Управление муниципальной собственности администрации Чебаркульского городского округа, 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  <w:tr w:rsidR="005B272C" w:rsidRPr="00E21BEB" w:rsidTr="00FC1487">
        <w:trPr>
          <w:trHeight w:val="388"/>
        </w:trPr>
        <w:tc>
          <w:tcPr>
            <w:tcW w:w="675" w:type="dxa"/>
          </w:tcPr>
          <w:p w:rsidR="00837782" w:rsidRPr="00E21BEB" w:rsidRDefault="007A7D6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749" w:type="dxa"/>
          </w:tcPr>
          <w:p w:rsidR="00837782" w:rsidRPr="00E21BEB" w:rsidRDefault="00837782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Подготовка ежегодного отчета о реализации программы</w:t>
            </w:r>
          </w:p>
        </w:tc>
        <w:tc>
          <w:tcPr>
            <w:tcW w:w="2110" w:type="dxa"/>
          </w:tcPr>
          <w:p w:rsidR="00837782" w:rsidRPr="00E21BEB" w:rsidRDefault="00837782" w:rsidP="00FC1487">
            <w:pPr>
              <w:ind w:firstLine="37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в срок до 1 марта года, следующего за отчетным периодом</w:t>
            </w:r>
            <w:r w:rsidR="005B272C" w:rsidRPr="00E21BEB">
              <w:rPr>
                <w:rFonts w:ascii="Times New Roman" w:hAnsi="Times New Roman"/>
                <w:szCs w:val="24"/>
              </w:rPr>
              <w:t xml:space="preserve"> (2020-2022гг.)</w:t>
            </w:r>
          </w:p>
        </w:tc>
        <w:tc>
          <w:tcPr>
            <w:tcW w:w="3214" w:type="dxa"/>
          </w:tcPr>
          <w:p w:rsidR="00837782" w:rsidRPr="00E21BEB" w:rsidRDefault="005B272C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Администрация Чебаркульского городского округа, Управление муниципальной собственности администрации Чебаркульского городского округа, ГБУЗ «Областная  больница 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. Чебаркуль»</w:t>
            </w:r>
          </w:p>
        </w:tc>
      </w:tr>
    </w:tbl>
    <w:p w:rsidR="001E1795" w:rsidRPr="00E21BEB" w:rsidRDefault="001E1795" w:rsidP="00FC1487">
      <w:pPr>
        <w:pStyle w:val="6"/>
        <w:spacing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21BEB">
        <w:rPr>
          <w:rFonts w:ascii="Times New Roman" w:hAnsi="Times New Roman"/>
          <w:b w:val="0"/>
          <w:i w:val="0"/>
          <w:sz w:val="28"/>
          <w:szCs w:val="28"/>
        </w:rPr>
        <w:lastRenderedPageBreak/>
        <w:t>7. Ожидаемые результаты реализации программы с указанием показателей (индикаторов)</w:t>
      </w:r>
    </w:p>
    <w:p w:rsidR="001E1795" w:rsidRPr="00E21BEB" w:rsidRDefault="001E1795" w:rsidP="009A4349">
      <w:pPr>
        <w:ind w:firstLine="709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Оценка результатов и социально-экономической эффективности Программы будет проводиться на основе системы индикативных показателей за оцениваемый период. В результате осуществления Программы предполагается достижение показателей, указанных в таблице.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64"/>
        <w:gridCol w:w="964"/>
        <w:gridCol w:w="992"/>
        <w:gridCol w:w="1020"/>
        <w:gridCol w:w="851"/>
        <w:gridCol w:w="850"/>
      </w:tblGrid>
      <w:tr w:rsidR="00A03D89" w:rsidRPr="00E21BEB" w:rsidTr="00FC1487">
        <w:trPr>
          <w:trHeight w:val="368"/>
        </w:trPr>
        <w:tc>
          <w:tcPr>
            <w:tcW w:w="709" w:type="dxa"/>
            <w:vMerge w:val="restart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№</w:t>
            </w:r>
          </w:p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21BE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21BE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 xml:space="preserve">Наименование показателя реализации мероприятий муниципальной программы </w:t>
            </w:r>
          </w:p>
        </w:tc>
        <w:tc>
          <w:tcPr>
            <w:tcW w:w="1264" w:type="dxa"/>
            <w:vMerge w:val="restart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956" w:type="dxa"/>
            <w:gridSpan w:val="2"/>
          </w:tcPr>
          <w:p w:rsidR="00A03D89" w:rsidRPr="00E21BEB" w:rsidRDefault="00A03D89" w:rsidP="00FC1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2721" w:type="dxa"/>
            <w:gridSpan w:val="3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Планируемое значение показателя</w:t>
            </w:r>
          </w:p>
        </w:tc>
      </w:tr>
      <w:tr w:rsidR="00A03D89" w:rsidRPr="00E21BEB" w:rsidTr="00FC1487">
        <w:trPr>
          <w:trHeight w:val="859"/>
        </w:trPr>
        <w:tc>
          <w:tcPr>
            <w:tcW w:w="709" w:type="dxa"/>
            <w:vMerge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Факт 2018г.</w:t>
            </w:r>
          </w:p>
        </w:tc>
        <w:tc>
          <w:tcPr>
            <w:tcW w:w="992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Оценка 2019 г.</w:t>
            </w:r>
          </w:p>
        </w:tc>
        <w:tc>
          <w:tcPr>
            <w:tcW w:w="1020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2022 год</w:t>
            </w:r>
          </w:p>
        </w:tc>
      </w:tr>
      <w:tr w:rsidR="00A03D89" w:rsidRPr="00E21BEB" w:rsidTr="00FC1487">
        <w:trPr>
          <w:trHeight w:val="566"/>
        </w:trPr>
        <w:tc>
          <w:tcPr>
            <w:tcW w:w="709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A03D89" w:rsidRPr="00E21BEB" w:rsidRDefault="00A03D89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 предоставленных  жилых помещений на условиях коммерческого найма для привлекаемых на работу в ГБУЗ «Областная больница г</w:t>
            </w:r>
            <w:proofErr w:type="gramStart"/>
            <w:r w:rsidRPr="00E21BEB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E21BEB">
              <w:rPr>
                <w:rFonts w:ascii="Times New Roman" w:hAnsi="Times New Roman"/>
                <w:szCs w:val="24"/>
              </w:rPr>
              <w:t>ебаркуль» специалистов с  медицинским образованием</w:t>
            </w:r>
          </w:p>
        </w:tc>
        <w:tc>
          <w:tcPr>
            <w:tcW w:w="1264" w:type="dxa"/>
            <w:vAlign w:val="center"/>
          </w:tcPr>
          <w:p w:rsidR="00A03D89" w:rsidRPr="00E21BEB" w:rsidRDefault="00A03D8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964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</w:p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</w:p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</w:p>
          <w:p w:rsidR="00A03D89" w:rsidRPr="00E21BEB" w:rsidRDefault="002104BB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</w:p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567AE" w:rsidRPr="00E21BEB" w:rsidRDefault="004567AE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</w:p>
          <w:p w:rsidR="00A03D89" w:rsidRPr="00E21BEB" w:rsidRDefault="002104BB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03D89" w:rsidRPr="00E21BEB" w:rsidTr="00FC1487">
        <w:trPr>
          <w:trHeight w:val="565"/>
        </w:trPr>
        <w:tc>
          <w:tcPr>
            <w:tcW w:w="709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A03D89" w:rsidRPr="00E21BEB" w:rsidRDefault="005B272C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Количество</w:t>
            </w:r>
            <w:r w:rsidR="00A03D89" w:rsidRPr="00E21BEB">
              <w:rPr>
                <w:rFonts w:ascii="Times New Roman" w:hAnsi="Times New Roman"/>
                <w:szCs w:val="24"/>
              </w:rPr>
              <w:t xml:space="preserve">  специалистов с медицинским образованием, получивших подъемные</w:t>
            </w:r>
          </w:p>
        </w:tc>
        <w:tc>
          <w:tcPr>
            <w:tcW w:w="1264" w:type="dxa"/>
            <w:vAlign w:val="center"/>
          </w:tcPr>
          <w:p w:rsidR="00A03D89" w:rsidRPr="00E21BEB" w:rsidRDefault="00FF277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ч</w:t>
            </w:r>
            <w:r w:rsidR="00A03D89" w:rsidRPr="00E21BEB">
              <w:rPr>
                <w:rFonts w:ascii="Times New Roman" w:hAnsi="Times New Roman"/>
                <w:szCs w:val="24"/>
              </w:rPr>
              <w:t>ел.</w:t>
            </w:r>
          </w:p>
        </w:tc>
        <w:tc>
          <w:tcPr>
            <w:tcW w:w="964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03D89" w:rsidRPr="00E21BEB" w:rsidRDefault="00FF277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03D89" w:rsidRPr="00E21BEB" w:rsidTr="00FC1487">
        <w:trPr>
          <w:trHeight w:val="565"/>
        </w:trPr>
        <w:tc>
          <w:tcPr>
            <w:tcW w:w="709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03D89" w:rsidRPr="00E21BEB" w:rsidRDefault="00A03D89" w:rsidP="00FC1487">
            <w:pPr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Обеспеченность населения врачами</w:t>
            </w:r>
          </w:p>
        </w:tc>
        <w:tc>
          <w:tcPr>
            <w:tcW w:w="1264" w:type="dxa"/>
            <w:vAlign w:val="center"/>
          </w:tcPr>
          <w:p w:rsidR="00A03D89" w:rsidRPr="00E21BEB" w:rsidRDefault="00FF2779" w:rsidP="00FC1487">
            <w:pPr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ч</w:t>
            </w:r>
            <w:r w:rsidR="00A03D89" w:rsidRPr="00E21BEB">
              <w:rPr>
                <w:rFonts w:ascii="Times New Roman" w:hAnsi="Times New Roman"/>
                <w:szCs w:val="24"/>
              </w:rPr>
              <w:t>ел.</w:t>
            </w:r>
            <w:r w:rsidR="00F70D05">
              <w:rPr>
                <w:rFonts w:ascii="Times New Roman" w:hAnsi="Times New Roman"/>
                <w:szCs w:val="24"/>
              </w:rPr>
              <w:t xml:space="preserve"> </w:t>
            </w:r>
            <w:r w:rsidR="00A03D89" w:rsidRPr="00E21BEB">
              <w:rPr>
                <w:rFonts w:ascii="Times New Roman" w:hAnsi="Times New Roman"/>
                <w:szCs w:val="24"/>
              </w:rPr>
              <w:t>на 10 тыс. населения</w:t>
            </w:r>
          </w:p>
        </w:tc>
        <w:tc>
          <w:tcPr>
            <w:tcW w:w="964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22,4</w:t>
            </w:r>
          </w:p>
        </w:tc>
        <w:tc>
          <w:tcPr>
            <w:tcW w:w="1020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22,6</w:t>
            </w:r>
          </w:p>
        </w:tc>
        <w:tc>
          <w:tcPr>
            <w:tcW w:w="851" w:type="dxa"/>
            <w:vAlign w:val="center"/>
          </w:tcPr>
          <w:p w:rsidR="00A03D89" w:rsidRPr="00E21BEB" w:rsidRDefault="00A03D89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22,8</w:t>
            </w:r>
          </w:p>
        </w:tc>
        <w:tc>
          <w:tcPr>
            <w:tcW w:w="850" w:type="dxa"/>
            <w:vAlign w:val="center"/>
          </w:tcPr>
          <w:p w:rsidR="00A03D89" w:rsidRPr="00E21BEB" w:rsidRDefault="006D18E0" w:rsidP="00FC1487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Cs w:val="24"/>
              </w:rPr>
            </w:pPr>
            <w:r w:rsidRPr="00E21BEB">
              <w:rPr>
                <w:rFonts w:ascii="Times New Roman" w:hAnsi="Times New Roman"/>
                <w:szCs w:val="24"/>
              </w:rPr>
              <w:t>23,0</w:t>
            </w:r>
          </w:p>
        </w:tc>
      </w:tr>
    </w:tbl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Социально-экономическая эффективность Программы заключается: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1) для населения - в обеспечении доступности квалифицированной лечебно-профилактической помощи, повышении удовлетворенности условиями и качеством медицинского обслуживания;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2) для специалистов с медицинским образованием - в повышении престижа профессии, получении адекватного вознаграждения за качественный труд, обеспечении доступности повышения профессионального роста, удовлетворенности условиями труда;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3) для системы здравоохранения - в повышении качества и эффективности медицинской помощи на всех этапах ее оказания, увеличении числа специалистов с медицинским образованием в ГБУЗ «Областная больница г</w:t>
      </w:r>
      <w:proofErr w:type="gramStart"/>
      <w:r w:rsidRPr="00E21BEB">
        <w:rPr>
          <w:rFonts w:ascii="Times New Roman" w:hAnsi="Times New Roman"/>
          <w:sz w:val="28"/>
          <w:szCs w:val="28"/>
        </w:rPr>
        <w:t>.Ч</w:t>
      </w:r>
      <w:proofErr w:type="gramEnd"/>
      <w:r w:rsidRPr="00E21BEB">
        <w:rPr>
          <w:rFonts w:ascii="Times New Roman" w:hAnsi="Times New Roman"/>
          <w:sz w:val="28"/>
          <w:szCs w:val="28"/>
        </w:rPr>
        <w:t>ебаркуль».</w:t>
      </w:r>
    </w:p>
    <w:p w:rsidR="001E1795" w:rsidRDefault="001E1795" w:rsidP="009A434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0D05" w:rsidRPr="00E21BEB" w:rsidRDefault="00F70D05" w:rsidP="009A434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lastRenderedPageBreak/>
        <w:t>8. Финансово – экономическое обоснование муниципальной программы</w:t>
      </w:r>
    </w:p>
    <w:p w:rsidR="001E1795" w:rsidRPr="00E21BEB" w:rsidRDefault="001E1795" w:rsidP="009A434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Финансирование по внебюджетным средствам осуществляется за счет средств приносящей доход деятельности ГБУЗ «Областная больница </w:t>
      </w:r>
      <w:proofErr w:type="gramStart"/>
      <w:r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Pr="00E21BEB">
        <w:rPr>
          <w:rFonts w:ascii="Times New Roman" w:hAnsi="Times New Roman"/>
          <w:sz w:val="28"/>
          <w:szCs w:val="28"/>
        </w:rPr>
        <w:t>. Чебаркуль»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Объем расходов в разрезе мероприятий рассчитан следующим образом:</w:t>
      </w:r>
    </w:p>
    <w:p w:rsidR="001E1795" w:rsidRPr="00E21BEB" w:rsidRDefault="00FF2779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Мероприятие</w:t>
      </w:r>
      <w:r w:rsidR="001E1795" w:rsidRPr="00E21BEB">
        <w:rPr>
          <w:rFonts w:ascii="Times New Roman" w:hAnsi="Times New Roman"/>
          <w:sz w:val="28"/>
          <w:szCs w:val="28"/>
        </w:rPr>
        <w:t xml:space="preserve"> задачи 1. Предоставление жилых помещений на условиях коммерческого найма для привлечения на работу в ГБУЗ «Областная больница </w:t>
      </w:r>
      <w:proofErr w:type="gramStart"/>
      <w:r w:rsidR="001E1795"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="001E1795" w:rsidRPr="00E21BEB">
        <w:rPr>
          <w:rFonts w:ascii="Times New Roman" w:hAnsi="Times New Roman"/>
          <w:sz w:val="28"/>
          <w:szCs w:val="28"/>
        </w:rPr>
        <w:t>. Чебаркуль»  специалистов с  медицинским образованием – финансирования не предполагает.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Мероприятие задачи 2. Предоставление единовременных социальных выплат (подъемных)  специалистам  с медицинским образованием</w:t>
      </w:r>
      <w:r w:rsidR="004567AE" w:rsidRPr="00E21BEB">
        <w:rPr>
          <w:rFonts w:ascii="Times New Roman" w:hAnsi="Times New Roman"/>
          <w:sz w:val="28"/>
          <w:szCs w:val="28"/>
        </w:rPr>
        <w:t>:</w:t>
      </w:r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BEB">
        <w:rPr>
          <w:rFonts w:ascii="Times New Roman" w:hAnsi="Times New Roman"/>
          <w:sz w:val="28"/>
          <w:szCs w:val="28"/>
        </w:rPr>
        <w:t xml:space="preserve">- финансирование за счет средств местного бюджета рассчитано на основании </w:t>
      </w:r>
      <w:r w:rsidR="004567AE" w:rsidRPr="00E21BEB">
        <w:rPr>
          <w:rFonts w:ascii="Times New Roman" w:hAnsi="Times New Roman"/>
          <w:sz w:val="28"/>
          <w:szCs w:val="28"/>
        </w:rPr>
        <w:t>Положения</w:t>
      </w:r>
      <w:r w:rsidRPr="00E21BEB">
        <w:rPr>
          <w:rFonts w:ascii="Times New Roman" w:hAnsi="Times New Roman"/>
          <w:sz w:val="28"/>
          <w:szCs w:val="28"/>
        </w:rPr>
        <w:t xml:space="preserve"> </w:t>
      </w:r>
      <w:r w:rsidR="004567AE" w:rsidRPr="00E21BEB">
        <w:rPr>
          <w:rFonts w:ascii="Times New Roman" w:hAnsi="Times New Roman"/>
          <w:sz w:val="28"/>
          <w:szCs w:val="28"/>
        </w:rPr>
        <w:t>о</w:t>
      </w:r>
      <w:r w:rsidRPr="00E21BEB">
        <w:rPr>
          <w:rFonts w:ascii="Times New Roman" w:hAnsi="Times New Roman"/>
          <w:sz w:val="28"/>
          <w:szCs w:val="28"/>
        </w:rPr>
        <w:t xml:space="preserve"> социальных выплатах специалистам с медицинским образованием</w:t>
      </w:r>
      <w:r w:rsidR="004567AE" w:rsidRPr="00E21BEB">
        <w:rPr>
          <w:rFonts w:ascii="Times New Roman" w:hAnsi="Times New Roman"/>
          <w:sz w:val="28"/>
          <w:szCs w:val="28"/>
        </w:rPr>
        <w:t>, впервые трудоустроенным в</w:t>
      </w:r>
      <w:r w:rsidRPr="00E21BEB">
        <w:rPr>
          <w:rFonts w:ascii="Times New Roman" w:hAnsi="Times New Roman"/>
          <w:sz w:val="28"/>
          <w:szCs w:val="28"/>
        </w:rPr>
        <w:t xml:space="preserve"> ГБУЗ «Областная больница г. Чебаркуль» </w:t>
      </w:r>
      <w:r w:rsidR="004567AE" w:rsidRPr="00E21BEB">
        <w:rPr>
          <w:rFonts w:ascii="Times New Roman" w:hAnsi="Times New Roman"/>
          <w:sz w:val="28"/>
          <w:szCs w:val="28"/>
        </w:rPr>
        <w:t>Челябинской области, утверждено постановлением администрации Чебаркульского городского округа от 29.10.2018г. №</w:t>
      </w:r>
      <w:r w:rsidR="006D18E0" w:rsidRPr="00E21BEB">
        <w:rPr>
          <w:rFonts w:ascii="Times New Roman" w:hAnsi="Times New Roman"/>
          <w:sz w:val="28"/>
          <w:szCs w:val="28"/>
        </w:rPr>
        <w:t xml:space="preserve"> </w:t>
      </w:r>
      <w:r w:rsidR="004567AE" w:rsidRPr="00E21BEB">
        <w:rPr>
          <w:rFonts w:ascii="Times New Roman" w:hAnsi="Times New Roman"/>
          <w:sz w:val="28"/>
          <w:szCs w:val="28"/>
        </w:rPr>
        <w:t xml:space="preserve">710 (в редакции от 06.03.2019г.)  </w:t>
      </w:r>
      <w:r w:rsidRPr="00E21BEB">
        <w:rPr>
          <w:rFonts w:ascii="Times New Roman" w:hAnsi="Times New Roman"/>
          <w:sz w:val="28"/>
          <w:szCs w:val="28"/>
        </w:rPr>
        <w:t>и предполагаемого числа вновь трудоустроенных специалистов с медицинским образованием  в плановых периодах;</w:t>
      </w:r>
      <w:proofErr w:type="gramEnd"/>
    </w:p>
    <w:p w:rsidR="001E1795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- финансирование за счет внебюджетных средств рассчитано на основании Положени</w:t>
      </w:r>
      <w:r w:rsidR="004567AE" w:rsidRPr="00E21BEB">
        <w:rPr>
          <w:rFonts w:ascii="Times New Roman" w:hAnsi="Times New Roman"/>
          <w:sz w:val="28"/>
          <w:szCs w:val="28"/>
        </w:rPr>
        <w:t>я о</w:t>
      </w:r>
      <w:r w:rsidRPr="00E21BEB">
        <w:rPr>
          <w:rFonts w:ascii="Times New Roman" w:hAnsi="Times New Roman"/>
          <w:sz w:val="28"/>
          <w:szCs w:val="28"/>
        </w:rPr>
        <w:t xml:space="preserve"> социальных выплатах  специалистам с медицинским образованием ГБУЗ «Областная больница </w:t>
      </w:r>
      <w:proofErr w:type="gramStart"/>
      <w:r w:rsidRPr="00E21BEB">
        <w:rPr>
          <w:rFonts w:ascii="Times New Roman" w:hAnsi="Times New Roman"/>
          <w:sz w:val="28"/>
          <w:szCs w:val="28"/>
        </w:rPr>
        <w:t>г</w:t>
      </w:r>
      <w:proofErr w:type="gramEnd"/>
      <w:r w:rsidRPr="00E21BEB">
        <w:rPr>
          <w:rFonts w:ascii="Times New Roman" w:hAnsi="Times New Roman"/>
          <w:sz w:val="28"/>
          <w:szCs w:val="28"/>
        </w:rPr>
        <w:t>. Чебаркуль», утвержденного приказом главного врача</w:t>
      </w:r>
      <w:r w:rsidR="007A7D6C" w:rsidRPr="00E21BEB">
        <w:rPr>
          <w:rFonts w:ascii="Times New Roman" w:hAnsi="Times New Roman"/>
          <w:sz w:val="28"/>
          <w:szCs w:val="28"/>
        </w:rPr>
        <w:t xml:space="preserve"> </w:t>
      </w:r>
      <w:r w:rsidR="003C3646" w:rsidRPr="00E21BEB">
        <w:rPr>
          <w:rFonts w:ascii="Times New Roman" w:hAnsi="Times New Roman"/>
          <w:sz w:val="28"/>
          <w:szCs w:val="28"/>
        </w:rPr>
        <w:t>от 02 ноября 2018г.№ 640</w:t>
      </w:r>
      <w:bookmarkStart w:id="1" w:name="_GoBack"/>
      <w:bookmarkEnd w:id="1"/>
      <w:r w:rsidR="004567AE" w:rsidRPr="00E21BEB">
        <w:rPr>
          <w:rFonts w:ascii="Times New Roman" w:hAnsi="Times New Roman"/>
          <w:sz w:val="28"/>
          <w:szCs w:val="28"/>
        </w:rPr>
        <w:t>,</w:t>
      </w:r>
      <w:r w:rsidRPr="00E21BEB">
        <w:rPr>
          <w:rFonts w:ascii="Times New Roman" w:hAnsi="Times New Roman"/>
          <w:sz w:val="28"/>
          <w:szCs w:val="28"/>
        </w:rPr>
        <w:t xml:space="preserve">  и предполагаемого числа вновь трудоустроенных молодых спе</w:t>
      </w:r>
      <w:r w:rsidR="004567AE" w:rsidRPr="00E21BEB">
        <w:rPr>
          <w:rFonts w:ascii="Times New Roman" w:hAnsi="Times New Roman"/>
          <w:sz w:val="28"/>
          <w:szCs w:val="28"/>
        </w:rPr>
        <w:t>циалистов в плановых периодах</w:t>
      </w:r>
      <w:r w:rsidRPr="00E21BEB">
        <w:rPr>
          <w:rFonts w:ascii="Times New Roman" w:hAnsi="Times New Roman"/>
          <w:sz w:val="28"/>
          <w:szCs w:val="28"/>
        </w:rPr>
        <w:t>.</w:t>
      </w:r>
    </w:p>
    <w:p w:rsidR="009A4349" w:rsidRDefault="009A4349" w:rsidP="00FC1487">
      <w:pPr>
        <w:rPr>
          <w:rFonts w:ascii="Times New Roman" w:hAnsi="Times New Roman"/>
          <w:sz w:val="28"/>
          <w:szCs w:val="28"/>
        </w:rPr>
      </w:pP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9. Перечень и краткое  описание подпрограмм</w:t>
      </w:r>
    </w:p>
    <w:p w:rsidR="001E1795" w:rsidRPr="00E21BEB" w:rsidRDefault="001E1795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1D23" w:rsidRPr="00E21BEB" w:rsidRDefault="001E1795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Муниципальная программа «Медицинские кадры на территории Чебаркульского городского округа» на 2020-2022 гг. не содержит подпро</w:t>
      </w:r>
      <w:r w:rsidR="000037E3" w:rsidRPr="00E21BEB">
        <w:rPr>
          <w:rFonts w:ascii="Times New Roman" w:hAnsi="Times New Roman"/>
          <w:sz w:val="28"/>
          <w:szCs w:val="28"/>
        </w:rPr>
        <w:t>грамм.</w:t>
      </w:r>
    </w:p>
    <w:p w:rsidR="00E21BEB" w:rsidRDefault="00E21BEB" w:rsidP="009A4349">
      <w:pPr>
        <w:rPr>
          <w:rFonts w:ascii="Times New Roman" w:hAnsi="Times New Roman"/>
          <w:sz w:val="28"/>
          <w:szCs w:val="28"/>
        </w:rPr>
      </w:pPr>
    </w:p>
    <w:p w:rsidR="004567AE" w:rsidRPr="00E21BEB" w:rsidRDefault="004567AE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10. Переч</w:t>
      </w:r>
      <w:r w:rsidR="002A30C1" w:rsidRPr="00E21BEB">
        <w:rPr>
          <w:rFonts w:ascii="Times New Roman" w:hAnsi="Times New Roman"/>
          <w:sz w:val="28"/>
          <w:szCs w:val="28"/>
        </w:rPr>
        <w:t>ень и краткое описание проектов</w:t>
      </w:r>
    </w:p>
    <w:p w:rsidR="002A30C1" w:rsidRPr="00E21BEB" w:rsidRDefault="002A30C1" w:rsidP="009A43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67AE" w:rsidRPr="00E21BEB" w:rsidRDefault="004567AE" w:rsidP="009A4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BEB">
        <w:rPr>
          <w:rFonts w:ascii="Times New Roman" w:hAnsi="Times New Roman"/>
          <w:sz w:val="28"/>
          <w:szCs w:val="28"/>
        </w:rPr>
        <w:t>Реализация проектов в рамках муниципальной программы «Медицинские кадры на территории Чебаркульского городского округа» в 2020-2022 годах не планируется.</w:t>
      </w:r>
    </w:p>
    <w:sectPr w:rsidR="004567AE" w:rsidRPr="00E21BEB" w:rsidSect="00FC148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A6" w:rsidRDefault="00FC60A6">
      <w:r>
        <w:separator/>
      </w:r>
    </w:p>
  </w:endnote>
  <w:endnote w:type="continuationSeparator" w:id="0">
    <w:p w:rsidR="00FC60A6" w:rsidRDefault="00FC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0" w:rsidRDefault="005B648E" w:rsidP="001431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18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8E0" w:rsidRDefault="006D18E0" w:rsidP="001431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0" w:rsidRDefault="006D18E0" w:rsidP="001431B7">
    <w:pPr>
      <w:pStyle w:val="a6"/>
      <w:framePr w:wrap="around" w:vAnchor="text" w:hAnchor="margin" w:xAlign="right" w:y="1"/>
      <w:rPr>
        <w:rStyle w:val="a5"/>
      </w:rPr>
    </w:pPr>
  </w:p>
  <w:p w:rsidR="006D18E0" w:rsidRDefault="006D18E0" w:rsidP="001431B7">
    <w:pPr>
      <w:pStyle w:val="a6"/>
      <w:framePr w:wrap="around" w:vAnchor="text" w:hAnchor="margin" w:xAlign="center" w:y="1"/>
      <w:ind w:right="360"/>
    </w:pPr>
  </w:p>
  <w:p w:rsidR="006D18E0" w:rsidRDefault="006D18E0" w:rsidP="001431B7">
    <w:pPr>
      <w:pStyle w:val="a6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A6" w:rsidRDefault="00FC60A6">
      <w:r>
        <w:separator/>
      </w:r>
    </w:p>
  </w:footnote>
  <w:footnote w:type="continuationSeparator" w:id="0">
    <w:p w:rsidR="00FC60A6" w:rsidRDefault="00FC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0" w:rsidRDefault="005B648E" w:rsidP="00143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18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8E0">
      <w:rPr>
        <w:rStyle w:val="a5"/>
        <w:noProof/>
      </w:rPr>
      <w:t>17</w:t>
    </w:r>
    <w:r>
      <w:rPr>
        <w:rStyle w:val="a5"/>
      </w:rPr>
      <w:fldChar w:fldCharType="end"/>
    </w:r>
  </w:p>
  <w:p w:rsidR="006D18E0" w:rsidRDefault="006D1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187251"/>
      <w:docPartObj>
        <w:docPartGallery w:val="Page Numbers (Top of Page)"/>
        <w:docPartUnique/>
      </w:docPartObj>
    </w:sdtPr>
    <w:sdtContent>
      <w:p w:rsidR="006D18E0" w:rsidRDefault="005B648E">
        <w:pPr>
          <w:pStyle w:val="a3"/>
          <w:jc w:val="center"/>
        </w:pPr>
        <w:r>
          <w:fldChar w:fldCharType="begin"/>
        </w:r>
        <w:r w:rsidR="006D18E0">
          <w:instrText xml:space="preserve"> PAGE   \* MERGEFORMAT </w:instrText>
        </w:r>
        <w:r>
          <w:fldChar w:fldCharType="separate"/>
        </w:r>
        <w:r w:rsidR="00EA6D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18E0" w:rsidRPr="007331C0" w:rsidRDefault="006D18E0" w:rsidP="007331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0" w:rsidRDefault="006D18E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5B6"/>
    <w:multiLevelType w:val="hybridMultilevel"/>
    <w:tmpl w:val="C0C03988"/>
    <w:lvl w:ilvl="0" w:tplc="9DEC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9B"/>
    <w:rsid w:val="000037E3"/>
    <w:rsid w:val="000052DE"/>
    <w:rsid w:val="00015CC5"/>
    <w:rsid w:val="000404FC"/>
    <w:rsid w:val="0004657C"/>
    <w:rsid w:val="000752E3"/>
    <w:rsid w:val="00092569"/>
    <w:rsid w:val="000A3150"/>
    <w:rsid w:val="000D5FDB"/>
    <w:rsid w:val="00113BF5"/>
    <w:rsid w:val="00134269"/>
    <w:rsid w:val="001431B7"/>
    <w:rsid w:val="001B79FB"/>
    <w:rsid w:val="001E0F41"/>
    <w:rsid w:val="001E1795"/>
    <w:rsid w:val="001F4AF3"/>
    <w:rsid w:val="00201A7D"/>
    <w:rsid w:val="00205DAB"/>
    <w:rsid w:val="002104BB"/>
    <w:rsid w:val="00232212"/>
    <w:rsid w:val="00246051"/>
    <w:rsid w:val="002462DD"/>
    <w:rsid w:val="002A1D23"/>
    <w:rsid w:val="002A30C1"/>
    <w:rsid w:val="002B5B01"/>
    <w:rsid w:val="002E7785"/>
    <w:rsid w:val="002F6C56"/>
    <w:rsid w:val="003C3646"/>
    <w:rsid w:val="0044245F"/>
    <w:rsid w:val="004567AE"/>
    <w:rsid w:val="00473286"/>
    <w:rsid w:val="00474B8B"/>
    <w:rsid w:val="00511243"/>
    <w:rsid w:val="00524BDD"/>
    <w:rsid w:val="005423AB"/>
    <w:rsid w:val="00544A45"/>
    <w:rsid w:val="00567BEC"/>
    <w:rsid w:val="005B272C"/>
    <w:rsid w:val="005B3ADA"/>
    <w:rsid w:val="005B648E"/>
    <w:rsid w:val="0060489B"/>
    <w:rsid w:val="00626F97"/>
    <w:rsid w:val="006321B2"/>
    <w:rsid w:val="00671A72"/>
    <w:rsid w:val="006C008C"/>
    <w:rsid w:val="006D18E0"/>
    <w:rsid w:val="006F3048"/>
    <w:rsid w:val="006F5C90"/>
    <w:rsid w:val="007331C0"/>
    <w:rsid w:val="00791692"/>
    <w:rsid w:val="007A7D6C"/>
    <w:rsid w:val="007C2E8B"/>
    <w:rsid w:val="007D4A21"/>
    <w:rsid w:val="007D79A9"/>
    <w:rsid w:val="00806A62"/>
    <w:rsid w:val="00837782"/>
    <w:rsid w:val="008B422A"/>
    <w:rsid w:val="008B560D"/>
    <w:rsid w:val="008C7B41"/>
    <w:rsid w:val="008E351C"/>
    <w:rsid w:val="00904CFA"/>
    <w:rsid w:val="009112BB"/>
    <w:rsid w:val="00923D39"/>
    <w:rsid w:val="00937A77"/>
    <w:rsid w:val="00975D7A"/>
    <w:rsid w:val="009A4349"/>
    <w:rsid w:val="009E6D65"/>
    <w:rsid w:val="009F6C8E"/>
    <w:rsid w:val="00A03D89"/>
    <w:rsid w:val="00A076A9"/>
    <w:rsid w:val="00A149BE"/>
    <w:rsid w:val="00AD4606"/>
    <w:rsid w:val="00B06315"/>
    <w:rsid w:val="00B53D68"/>
    <w:rsid w:val="00B72901"/>
    <w:rsid w:val="00C02E07"/>
    <w:rsid w:val="00C40E22"/>
    <w:rsid w:val="00C67CB1"/>
    <w:rsid w:val="00CA6A9B"/>
    <w:rsid w:val="00CF1810"/>
    <w:rsid w:val="00D05D0B"/>
    <w:rsid w:val="00D536C8"/>
    <w:rsid w:val="00D5739B"/>
    <w:rsid w:val="00D742AB"/>
    <w:rsid w:val="00DA01B4"/>
    <w:rsid w:val="00DF7969"/>
    <w:rsid w:val="00E21BEB"/>
    <w:rsid w:val="00EA6D19"/>
    <w:rsid w:val="00EB40B2"/>
    <w:rsid w:val="00EC2002"/>
    <w:rsid w:val="00EC7A66"/>
    <w:rsid w:val="00EE3CC5"/>
    <w:rsid w:val="00F252E7"/>
    <w:rsid w:val="00F315E8"/>
    <w:rsid w:val="00F70D05"/>
    <w:rsid w:val="00FC1487"/>
    <w:rsid w:val="00FC60A6"/>
    <w:rsid w:val="00FD3AA3"/>
    <w:rsid w:val="00FE3B0F"/>
    <w:rsid w:val="00FE4BE5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1795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1E1795"/>
    <w:pPr>
      <w:keepNext/>
      <w:spacing w:line="360" w:lineRule="auto"/>
      <w:jc w:val="center"/>
      <w:outlineLvl w:val="3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1E1795"/>
    <w:pPr>
      <w:keepNext/>
      <w:spacing w:line="360" w:lineRule="auto"/>
      <w:outlineLvl w:val="5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795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795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1795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1E17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795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1E1795"/>
  </w:style>
  <w:style w:type="paragraph" w:styleId="a6">
    <w:name w:val="footer"/>
    <w:basedOn w:val="a"/>
    <w:link w:val="a7"/>
    <w:rsid w:val="001E179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E17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E1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1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1E1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E1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E17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7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6048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FF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A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C6EF5B945044B69DFDAA87E24DDE5C51A3D8B9BA9594ECCF5D1361626B88A4BADFE7DDAE4CABE5A762C8CAs1m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8A8B-B5EE-436D-978C-9C5807C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ksr-zam-n</cp:lastModifiedBy>
  <cp:revision>8</cp:revision>
  <cp:lastPrinted>2019-10-04T03:41:00Z</cp:lastPrinted>
  <dcterms:created xsi:type="dcterms:W3CDTF">2019-10-03T11:03:00Z</dcterms:created>
  <dcterms:modified xsi:type="dcterms:W3CDTF">2019-10-04T03:43:00Z</dcterms:modified>
</cp:coreProperties>
</file>