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09" w:rsidRPr="00BF3B31" w:rsidRDefault="00B41809" w:rsidP="00B41809">
      <w:pPr>
        <w:ind w:left="5812"/>
      </w:pPr>
      <w:r w:rsidRPr="00BF3B31">
        <w:t xml:space="preserve">Приложение к </w:t>
      </w:r>
    </w:p>
    <w:p w:rsidR="00B41809" w:rsidRPr="00415D31" w:rsidRDefault="00B41809" w:rsidP="00B41809">
      <w:pPr>
        <w:ind w:left="5812"/>
      </w:pPr>
      <w:r w:rsidRPr="00BF3B31">
        <w:t xml:space="preserve">постановлению администрации </w:t>
      </w:r>
      <w:proofErr w:type="spellStart"/>
      <w:r w:rsidRPr="00415D31">
        <w:t>Чебаркульского</w:t>
      </w:r>
      <w:proofErr w:type="spellEnd"/>
      <w:r w:rsidRPr="00415D31">
        <w:t xml:space="preserve"> городского округа</w:t>
      </w:r>
    </w:p>
    <w:p w:rsidR="00B41809" w:rsidRPr="00415D31" w:rsidRDefault="00B41809" w:rsidP="00B41809">
      <w:pPr>
        <w:ind w:left="5812" w:right="-2"/>
      </w:pPr>
      <w:r w:rsidRPr="00415D31">
        <w:t xml:space="preserve">от </w:t>
      </w:r>
      <w:proofErr w:type="gramStart"/>
      <w:r>
        <w:t>11.07</w:t>
      </w:r>
      <w:r w:rsidRPr="00415D31">
        <w:t>.2022</w:t>
      </w:r>
      <w:r>
        <w:t xml:space="preserve"> </w:t>
      </w:r>
      <w:r w:rsidRPr="00415D31">
        <w:t xml:space="preserve"> №</w:t>
      </w:r>
      <w:proofErr w:type="gramEnd"/>
      <w:r w:rsidRPr="00415D31">
        <w:t xml:space="preserve">  </w:t>
      </w:r>
      <w:r>
        <w:t>460</w:t>
      </w:r>
    </w:p>
    <w:p w:rsidR="00B41809" w:rsidRPr="00D64FF5" w:rsidRDefault="00B41809" w:rsidP="00B418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1809" w:rsidRPr="00D64FF5" w:rsidRDefault="00B41809" w:rsidP="00B4180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64FF5">
        <w:rPr>
          <w:sz w:val="28"/>
          <w:szCs w:val="28"/>
        </w:rPr>
        <w:t>Изменения в муниципа</w:t>
      </w:r>
      <w:bookmarkStart w:id="0" w:name="_GoBack"/>
      <w:bookmarkEnd w:id="0"/>
      <w:r w:rsidRPr="00D64FF5">
        <w:rPr>
          <w:sz w:val="28"/>
          <w:szCs w:val="28"/>
        </w:rPr>
        <w:t>льную программу</w:t>
      </w:r>
    </w:p>
    <w:p w:rsidR="00B41809" w:rsidRPr="00D64FF5" w:rsidRDefault="00B41809" w:rsidP="00B4180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64FF5">
        <w:rPr>
          <w:sz w:val="28"/>
          <w:szCs w:val="28"/>
        </w:rPr>
        <w:t>«Молодежь Чебаркуля» (далее - Программа)</w:t>
      </w:r>
    </w:p>
    <w:p w:rsidR="00B41809" w:rsidRPr="00D64FF5" w:rsidRDefault="00B41809" w:rsidP="00B4180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41809" w:rsidRPr="00D64FF5" w:rsidRDefault="00B41809" w:rsidP="00894519">
      <w:pPr>
        <w:pStyle w:val="aa"/>
        <w:numPr>
          <w:ilvl w:val="0"/>
          <w:numId w:val="6"/>
        </w:numPr>
        <w:tabs>
          <w:tab w:val="left" w:pos="709"/>
          <w:tab w:val="left" w:pos="851"/>
        </w:tabs>
        <w:spacing w:line="240" w:lineRule="auto"/>
        <w:ind w:left="0" w:firstLine="709"/>
        <w:contextualSpacing/>
        <w:jc w:val="both"/>
        <w:rPr>
          <w:lang w:val="x-none" w:eastAsia="x-none"/>
        </w:rPr>
      </w:pPr>
      <w:r w:rsidRPr="00D64FF5">
        <w:rPr>
          <w:lang w:eastAsia="x-none"/>
        </w:rPr>
        <w:t>Программу</w:t>
      </w:r>
      <w:r w:rsidRPr="00D64FF5">
        <w:rPr>
          <w:lang w:val="x-none" w:eastAsia="x-none"/>
        </w:rPr>
        <w:t xml:space="preserve"> дополнить целью</w:t>
      </w:r>
      <w:r w:rsidRPr="00D64FF5">
        <w:rPr>
          <w:lang w:eastAsia="x-none"/>
        </w:rPr>
        <w:t xml:space="preserve"> следующего содержания</w:t>
      </w:r>
      <w:r w:rsidRPr="00D64FF5">
        <w:rPr>
          <w:lang w:val="x-none" w:eastAsia="x-none"/>
        </w:rPr>
        <w:t>:</w:t>
      </w:r>
    </w:p>
    <w:p w:rsidR="00894519" w:rsidRDefault="00B41809" w:rsidP="00894519">
      <w:pPr>
        <w:pStyle w:val="aa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contextualSpacing/>
        <w:jc w:val="both"/>
      </w:pPr>
      <w:r w:rsidRPr="00D64FF5">
        <w:t xml:space="preserve">«Создание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</w:t>
      </w:r>
      <w:proofErr w:type="spellStart"/>
      <w:r w:rsidRPr="00D64FF5">
        <w:t>Чебаркульского</w:t>
      </w:r>
      <w:proofErr w:type="spellEnd"/>
      <w:r w:rsidRPr="00D64FF5">
        <w:t xml:space="preserve"> городского округа».</w:t>
      </w:r>
    </w:p>
    <w:p w:rsidR="008732FC" w:rsidRPr="00D64FF5" w:rsidRDefault="008732FC" w:rsidP="00894519">
      <w:pPr>
        <w:pStyle w:val="aa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contextualSpacing/>
        <w:jc w:val="both"/>
      </w:pPr>
    </w:p>
    <w:p w:rsidR="00894519" w:rsidRPr="00D64FF5" w:rsidRDefault="00894519" w:rsidP="00894519">
      <w:pPr>
        <w:pStyle w:val="aa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line="240" w:lineRule="auto"/>
        <w:ind w:left="0" w:firstLine="709"/>
        <w:contextualSpacing/>
        <w:jc w:val="both"/>
      </w:pPr>
      <w:r w:rsidRPr="00D64FF5">
        <w:t>Раздел 2. «Основные цели и задачи муниципальной программы» изложить в новой редакции:</w:t>
      </w:r>
    </w:p>
    <w:p w:rsidR="00894519" w:rsidRPr="00D64FF5" w:rsidRDefault="00894519" w:rsidP="008732FC">
      <w:pPr>
        <w:pStyle w:val="aa"/>
        <w:tabs>
          <w:tab w:val="left" w:pos="709"/>
          <w:tab w:val="left" w:pos="851"/>
          <w:tab w:val="left" w:pos="1134"/>
        </w:tabs>
        <w:spacing w:line="240" w:lineRule="auto"/>
        <w:ind w:left="709"/>
        <w:contextualSpacing/>
        <w:jc w:val="both"/>
      </w:pPr>
      <w:r w:rsidRPr="00D64FF5">
        <w:t>«Целями муниципальной программы являются:</w:t>
      </w:r>
    </w:p>
    <w:p w:rsidR="00894519" w:rsidRDefault="00894519" w:rsidP="00894519">
      <w:pPr>
        <w:pStyle w:val="aa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line="240" w:lineRule="auto"/>
        <w:ind w:left="0" w:firstLine="709"/>
        <w:contextualSpacing/>
        <w:jc w:val="both"/>
      </w:pPr>
      <w:r w:rsidRPr="00D64FF5">
        <w:t>Содействие социальному, культурному, духовному и физическому</w:t>
      </w:r>
      <w:r w:rsidRPr="00894519">
        <w:t xml:space="preserve"> развитию молодежи, проживающей на территории </w:t>
      </w:r>
      <w:proofErr w:type="spellStart"/>
      <w:r w:rsidRPr="00894519">
        <w:t>Чебаркульского</w:t>
      </w:r>
      <w:proofErr w:type="spellEnd"/>
      <w:r w:rsidRPr="00894519">
        <w:t xml:space="preserve"> городского округа.</w:t>
      </w:r>
    </w:p>
    <w:p w:rsidR="00894519" w:rsidRDefault="00894519" w:rsidP="00894519">
      <w:pPr>
        <w:pStyle w:val="aa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contextualSpacing/>
        <w:jc w:val="both"/>
      </w:pPr>
      <w:r w:rsidRPr="00894519">
        <w:t>Основными задачами для достижения этой цели являются:</w:t>
      </w:r>
    </w:p>
    <w:p w:rsidR="00894519" w:rsidRDefault="00894519" w:rsidP="00894519">
      <w:pPr>
        <w:pStyle w:val="aa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contextualSpacing/>
        <w:jc w:val="both"/>
      </w:pPr>
      <w:r w:rsidRPr="00894519">
        <w:t>- формирование условий, направленных на гражданско-патриотическое, духовное развитие и воспитание молодежи;</w:t>
      </w:r>
    </w:p>
    <w:p w:rsidR="00894519" w:rsidRDefault="00894519" w:rsidP="00894519">
      <w:pPr>
        <w:pStyle w:val="aa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contextualSpacing/>
        <w:jc w:val="both"/>
      </w:pPr>
      <w:r w:rsidRPr="00894519">
        <w:t>- реализация интеллектуального, творческого и спортивного потенциала молодежи в интересах общественного развития;</w:t>
      </w:r>
    </w:p>
    <w:p w:rsidR="00894519" w:rsidRDefault="00894519" w:rsidP="00894519">
      <w:pPr>
        <w:pStyle w:val="aa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contextualSpacing/>
        <w:jc w:val="both"/>
      </w:pPr>
      <w:r>
        <w:t xml:space="preserve">2) </w:t>
      </w:r>
      <w:r w:rsidRPr="00894519">
        <w:t xml:space="preserve">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</w:t>
      </w:r>
      <w:proofErr w:type="spellStart"/>
      <w:r w:rsidRPr="00894519">
        <w:t>Чебаркульского</w:t>
      </w:r>
      <w:proofErr w:type="spellEnd"/>
      <w:r w:rsidRPr="00894519">
        <w:t xml:space="preserve"> городского округа.</w:t>
      </w:r>
    </w:p>
    <w:p w:rsidR="00894519" w:rsidRDefault="00894519" w:rsidP="00894519">
      <w:pPr>
        <w:pStyle w:val="aa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contextualSpacing/>
        <w:jc w:val="both"/>
      </w:pPr>
      <w:r w:rsidRPr="00894519">
        <w:t>Основной задачей для достижения этой цели является:</w:t>
      </w:r>
    </w:p>
    <w:p w:rsidR="00894519" w:rsidRDefault="00894519" w:rsidP="00894519">
      <w:pPr>
        <w:pStyle w:val="aa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contextualSpacing/>
        <w:jc w:val="both"/>
      </w:pPr>
      <w:r w:rsidRPr="00894519">
        <w:t>- создание условий для более полного вовлечения молодежи в социально-экономическую, политическую и культурную жизнь общества.</w:t>
      </w:r>
    </w:p>
    <w:p w:rsidR="008732FC" w:rsidRDefault="008732FC" w:rsidP="00894519">
      <w:pPr>
        <w:pStyle w:val="aa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contextualSpacing/>
        <w:jc w:val="both"/>
      </w:pPr>
    </w:p>
    <w:p w:rsidR="00894519" w:rsidRPr="00894519" w:rsidRDefault="008732FC" w:rsidP="00894519">
      <w:pPr>
        <w:pStyle w:val="aa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contextualSpacing/>
        <w:jc w:val="both"/>
      </w:pPr>
      <w:r>
        <w:t>3</w:t>
      </w:r>
      <w:r w:rsidR="00894519">
        <w:t xml:space="preserve">. </w:t>
      </w:r>
      <w:r w:rsidR="00894519" w:rsidRPr="00894519">
        <w:t>В разделе 4 таблицу 1 «Система мероприятий и показатели (индикаторы) муниципальной программы» изложить в новой редакции:</w:t>
      </w:r>
    </w:p>
    <w:p w:rsidR="00894519" w:rsidRDefault="00894519" w:rsidP="00894519">
      <w:pPr>
        <w:pStyle w:val="aa"/>
        <w:tabs>
          <w:tab w:val="left" w:pos="709"/>
          <w:tab w:val="left" w:pos="851"/>
        </w:tabs>
        <w:spacing w:line="240" w:lineRule="auto"/>
        <w:ind w:left="0" w:firstLine="709"/>
        <w:contextualSpacing/>
        <w:jc w:val="both"/>
        <w:rPr>
          <w:lang w:eastAsia="x-none"/>
        </w:rPr>
        <w:sectPr w:rsidR="00894519" w:rsidSect="00B41809">
          <w:headerReference w:type="default" r:id="rId8"/>
          <w:pgSz w:w="11906" w:h="16838"/>
          <w:pgMar w:top="1134" w:right="567" w:bottom="907" w:left="1701" w:header="709" w:footer="0" w:gutter="0"/>
          <w:pgNumType w:start="1"/>
          <w:cols w:space="708"/>
          <w:titlePg/>
          <w:docGrid w:linePitch="360"/>
        </w:sectPr>
      </w:pPr>
    </w:p>
    <w:p w:rsidR="00894519" w:rsidRPr="00C9486B" w:rsidRDefault="00894519" w:rsidP="00894519">
      <w:pPr>
        <w:pStyle w:val="af2"/>
        <w:spacing w:before="0" w:beforeAutospacing="0" w:after="0" w:afterAutospacing="0"/>
        <w:ind w:firstLine="720"/>
        <w:jc w:val="right"/>
      </w:pPr>
      <w:r w:rsidRPr="00C9486B">
        <w:lastRenderedPageBreak/>
        <w:t xml:space="preserve">Таблица 1 </w:t>
      </w:r>
    </w:p>
    <w:p w:rsidR="00894519" w:rsidRPr="00C9486B" w:rsidRDefault="00894519" w:rsidP="00894519">
      <w:pPr>
        <w:pStyle w:val="af2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C9486B">
        <w:rPr>
          <w:sz w:val="28"/>
          <w:szCs w:val="28"/>
        </w:rPr>
        <w:t>Система мероприятий и показатели (индикаторы) муниципальной программы</w:t>
      </w:r>
    </w:p>
    <w:tbl>
      <w:tblPr>
        <w:tblpPr w:leftFromText="181" w:rightFromText="181" w:vertAnchor="page" w:horzAnchor="margin" w:tblpXSpec="center" w:tblpY="2491"/>
        <w:tblOverlap w:val="never"/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486"/>
        <w:gridCol w:w="2650"/>
        <w:gridCol w:w="3922"/>
        <w:gridCol w:w="4481"/>
        <w:gridCol w:w="1337"/>
        <w:gridCol w:w="1914"/>
      </w:tblGrid>
      <w:tr w:rsidR="00894519" w:rsidRPr="00894519" w:rsidTr="001B7270">
        <w:trPr>
          <w:trHeight w:val="1037"/>
        </w:trPr>
        <w:tc>
          <w:tcPr>
            <w:tcW w:w="164" w:type="pct"/>
            <w:vMerge w:val="restart"/>
            <w:vAlign w:val="center"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19">
              <w:rPr>
                <w:rFonts w:ascii="Times New Roman" w:hAnsi="Times New Roman"/>
                <w:sz w:val="24"/>
                <w:szCs w:val="24"/>
              </w:rPr>
              <w:t>№</w:t>
            </w:r>
            <w:r w:rsidRPr="008945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9451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96" w:type="pct"/>
            <w:vAlign w:val="center"/>
          </w:tcPr>
          <w:p w:rsidR="00894519" w:rsidRPr="00894519" w:rsidRDefault="00894519" w:rsidP="00894519">
            <w:pPr>
              <w:contextualSpacing/>
              <w:jc w:val="center"/>
            </w:pPr>
            <w:r w:rsidRPr="00894519">
              <w:t>Задача программы</w:t>
            </w:r>
          </w:p>
        </w:tc>
        <w:tc>
          <w:tcPr>
            <w:tcW w:w="1326" w:type="pct"/>
            <w:vAlign w:val="center"/>
          </w:tcPr>
          <w:p w:rsidR="00894519" w:rsidRPr="00894519" w:rsidRDefault="00894519" w:rsidP="00894519">
            <w:pPr>
              <w:pStyle w:val="ConsPlusNormal"/>
              <w:ind w:hanging="2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1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5" w:type="pct"/>
            <w:vAlign w:val="center"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19"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452" w:type="pct"/>
            <w:vAlign w:val="center"/>
          </w:tcPr>
          <w:p w:rsidR="00894519" w:rsidRPr="00894519" w:rsidRDefault="00894519" w:rsidP="00894519">
            <w:pPr>
              <w:ind w:left="-61" w:firstLine="61"/>
              <w:contextualSpacing/>
              <w:jc w:val="center"/>
            </w:pPr>
            <w:r w:rsidRPr="00894519">
              <w:t>Срок реализации</w:t>
            </w:r>
          </w:p>
        </w:tc>
        <w:tc>
          <w:tcPr>
            <w:tcW w:w="647" w:type="pct"/>
          </w:tcPr>
          <w:p w:rsidR="00894519" w:rsidRPr="00894519" w:rsidRDefault="00894519" w:rsidP="00894519">
            <w:pPr>
              <w:contextualSpacing/>
              <w:jc w:val="center"/>
            </w:pPr>
            <w:r w:rsidRPr="00894519">
              <w:t>Ответственный исполнитель (соисполнитель) мероприятия</w:t>
            </w:r>
          </w:p>
        </w:tc>
      </w:tr>
      <w:tr w:rsidR="00894519" w:rsidRPr="00894519" w:rsidTr="001B7270">
        <w:trPr>
          <w:trHeight w:val="113"/>
        </w:trPr>
        <w:tc>
          <w:tcPr>
            <w:tcW w:w="164" w:type="pct"/>
            <w:vMerge/>
          </w:tcPr>
          <w:p w:rsidR="00894519" w:rsidRPr="00894519" w:rsidRDefault="00894519" w:rsidP="00894519">
            <w:pPr>
              <w:pStyle w:val="ConsPlusNormal"/>
              <w:ind w:firstLine="85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pct"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" w:type="pct"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4519" w:rsidRPr="00894519" w:rsidTr="001B7270">
        <w:tc>
          <w:tcPr>
            <w:tcW w:w="5000" w:type="pct"/>
            <w:gridSpan w:val="6"/>
            <w:shd w:val="clear" w:color="auto" w:fill="F2F2F2"/>
          </w:tcPr>
          <w:p w:rsidR="00894519" w:rsidRPr="00894519" w:rsidRDefault="00894519" w:rsidP="00894519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894519">
              <w:t xml:space="preserve">Цель 1: Содействие социальному, культурному, духовному и физическому развитию молодежи, проживающей на территории </w:t>
            </w:r>
            <w:proofErr w:type="spellStart"/>
            <w:r w:rsidRPr="00894519">
              <w:t>Чебаркульского</w:t>
            </w:r>
            <w:proofErr w:type="spellEnd"/>
            <w:r w:rsidRPr="00894519">
              <w:t xml:space="preserve"> городского округа</w:t>
            </w:r>
          </w:p>
        </w:tc>
      </w:tr>
      <w:tr w:rsidR="00894519" w:rsidRPr="00894519" w:rsidTr="001B7270">
        <w:trPr>
          <w:trHeight w:val="1043"/>
        </w:trPr>
        <w:tc>
          <w:tcPr>
            <w:tcW w:w="164" w:type="pct"/>
            <w:vMerge w:val="restart"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pct"/>
            <w:vMerge w:val="restart"/>
          </w:tcPr>
          <w:p w:rsidR="00894519" w:rsidRPr="00894519" w:rsidRDefault="00894519" w:rsidP="00894519">
            <w:pPr>
              <w:pStyle w:val="aa"/>
              <w:spacing w:line="240" w:lineRule="auto"/>
              <w:ind w:left="61"/>
              <w:contextualSpacing/>
              <w:rPr>
                <w:sz w:val="24"/>
                <w:szCs w:val="24"/>
              </w:rPr>
            </w:pPr>
            <w:r w:rsidRPr="00894519">
              <w:rPr>
                <w:sz w:val="24"/>
                <w:szCs w:val="24"/>
              </w:rPr>
              <w:t>Формирование условий, направленных на гражданско-патриотическое, духовное развитие и воспитание молодежи</w:t>
            </w:r>
          </w:p>
        </w:tc>
        <w:tc>
          <w:tcPr>
            <w:tcW w:w="1326" w:type="pct"/>
          </w:tcPr>
          <w:p w:rsidR="00894519" w:rsidRPr="00894519" w:rsidRDefault="00894519" w:rsidP="00894519">
            <w:pPr>
              <w:pStyle w:val="ConsPlusNormal"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519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мероприятий, посвященных юбилейным и памятным датам России, вручению паспортов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молодых людей в возрасте 14 лет, проживающих в городском округе, принявших участие в мероприятии по вручению паспортов, человек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2022-2024</w:t>
            </w:r>
          </w:p>
        </w:tc>
        <w:tc>
          <w:tcPr>
            <w:tcW w:w="647" w:type="pct"/>
            <w:vMerge w:val="restart"/>
          </w:tcPr>
          <w:p w:rsidR="00894519" w:rsidRPr="00894519" w:rsidRDefault="00894519" w:rsidP="00894519">
            <w:pPr>
              <w:ind w:hanging="36"/>
              <w:contextualSpacing/>
              <w:jc w:val="both"/>
            </w:pPr>
            <w:r w:rsidRPr="00894519">
              <w:t xml:space="preserve">Управление образования администрации </w:t>
            </w:r>
            <w:proofErr w:type="spellStart"/>
            <w:r w:rsidRPr="00894519">
              <w:t>Чебаркульского</w:t>
            </w:r>
            <w:proofErr w:type="spellEnd"/>
            <w:r w:rsidRPr="00894519">
              <w:t xml:space="preserve"> городского округа</w:t>
            </w:r>
          </w:p>
        </w:tc>
      </w:tr>
      <w:tr w:rsidR="00894519" w:rsidRPr="00894519" w:rsidTr="001B7270">
        <w:trPr>
          <w:trHeight w:val="1261"/>
        </w:trPr>
        <w:tc>
          <w:tcPr>
            <w:tcW w:w="164" w:type="pct"/>
            <w:vMerge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26" w:type="pct"/>
          </w:tcPr>
          <w:p w:rsidR="00894519" w:rsidRPr="00894519" w:rsidRDefault="00894519" w:rsidP="00894519">
            <w:pPr>
              <w:pStyle w:val="ConsPlusNormal"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51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муниципального этапа </w:t>
            </w:r>
            <w:proofErr w:type="gramStart"/>
            <w:r w:rsidRPr="00894519">
              <w:rPr>
                <w:rFonts w:ascii="Times New Roman" w:hAnsi="Times New Roman"/>
                <w:sz w:val="24"/>
                <w:szCs w:val="24"/>
              </w:rPr>
              <w:t>Всероссийской  военно</w:t>
            </w:r>
            <w:proofErr w:type="gramEnd"/>
            <w:r w:rsidRPr="00894519">
              <w:rPr>
                <w:rFonts w:ascii="Times New Roman" w:hAnsi="Times New Roman"/>
                <w:sz w:val="24"/>
                <w:szCs w:val="24"/>
              </w:rPr>
              <w:t>-спортивной игры «Зарница»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молодых людей в возрасте от 14 до 35 лет, проживающих в городском округе, принявших участие во Всероссийской военно-спортивной игре «Зарница», человек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2022-2024</w:t>
            </w:r>
          </w:p>
        </w:tc>
        <w:tc>
          <w:tcPr>
            <w:tcW w:w="647" w:type="pct"/>
            <w:vMerge/>
          </w:tcPr>
          <w:p w:rsidR="00894519" w:rsidRPr="00894519" w:rsidRDefault="00894519" w:rsidP="00894519">
            <w:pPr>
              <w:ind w:hanging="36"/>
              <w:contextualSpacing/>
              <w:jc w:val="both"/>
            </w:pPr>
          </w:p>
        </w:tc>
      </w:tr>
      <w:tr w:rsidR="00894519" w:rsidRPr="00894519" w:rsidTr="001B7270">
        <w:trPr>
          <w:trHeight w:val="970"/>
        </w:trPr>
        <w:tc>
          <w:tcPr>
            <w:tcW w:w="164" w:type="pct"/>
            <w:vMerge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26" w:type="pct"/>
          </w:tcPr>
          <w:p w:rsidR="00894519" w:rsidRPr="00894519" w:rsidRDefault="00894519" w:rsidP="00894519">
            <w:pPr>
              <w:pStyle w:val="ConsPlusNormal"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519">
              <w:rPr>
                <w:rFonts w:ascii="Times New Roman" w:hAnsi="Times New Roman"/>
                <w:sz w:val="24"/>
                <w:szCs w:val="24"/>
              </w:rPr>
              <w:t>Организация и проведение   муниципального этапа акции «Вахта памяти»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молодых людей в возрасте от 14 до 35 лет, проживающих в городском округе, принявших участие в акции «Вахта памяти», человек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</w:pPr>
            <w:r w:rsidRPr="00894519">
              <w:t>2022-2024</w:t>
            </w:r>
          </w:p>
        </w:tc>
        <w:tc>
          <w:tcPr>
            <w:tcW w:w="647" w:type="pct"/>
            <w:vMerge/>
          </w:tcPr>
          <w:p w:rsidR="00894519" w:rsidRPr="00894519" w:rsidRDefault="00894519" w:rsidP="00894519">
            <w:pPr>
              <w:contextualSpacing/>
            </w:pPr>
          </w:p>
        </w:tc>
      </w:tr>
      <w:tr w:rsidR="00894519" w:rsidRPr="00894519" w:rsidTr="001B7270">
        <w:trPr>
          <w:trHeight w:val="907"/>
        </w:trPr>
        <w:tc>
          <w:tcPr>
            <w:tcW w:w="164" w:type="pct"/>
            <w:vMerge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26" w:type="pct"/>
          </w:tcPr>
          <w:p w:rsidR="00894519" w:rsidRPr="00894519" w:rsidRDefault="00894519" w:rsidP="00894519">
            <w:pPr>
              <w:pStyle w:val="ConsPlusNormal"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519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муниципальной акции «Георгиевская лента»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молодых людей в возрасте от 14 до 35 лет, проживающих в городском округе, принявших участие в акции «Георгиевская лента», человек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</w:pPr>
            <w:r w:rsidRPr="00894519">
              <w:t>2022-2024</w:t>
            </w:r>
          </w:p>
        </w:tc>
        <w:tc>
          <w:tcPr>
            <w:tcW w:w="647" w:type="pct"/>
            <w:vMerge/>
          </w:tcPr>
          <w:p w:rsidR="00894519" w:rsidRPr="00894519" w:rsidRDefault="00894519" w:rsidP="00894519">
            <w:pPr>
              <w:contextualSpacing/>
            </w:pPr>
          </w:p>
        </w:tc>
      </w:tr>
      <w:tr w:rsidR="00894519" w:rsidRPr="00894519" w:rsidTr="001B7270">
        <w:trPr>
          <w:trHeight w:val="1038"/>
        </w:trPr>
        <w:tc>
          <w:tcPr>
            <w:tcW w:w="164" w:type="pct"/>
            <w:vMerge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26" w:type="pct"/>
          </w:tcPr>
          <w:p w:rsidR="00894519" w:rsidRPr="00894519" w:rsidRDefault="00894519" w:rsidP="00894519">
            <w:pPr>
              <w:pStyle w:val="ConsPlusNormal"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519">
              <w:rPr>
                <w:rFonts w:ascii="Times New Roman" w:hAnsi="Times New Roman"/>
                <w:sz w:val="24"/>
                <w:szCs w:val="24"/>
              </w:rPr>
              <w:t>Организация и проведение акции «Бессмертный полк»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молодых людей в возрасте от 14 до 35 лет, проживающих в городском округе, принявших участие в шествии «Бессмертный полк», человек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</w:pPr>
            <w:r w:rsidRPr="00894519">
              <w:t>2022-2024</w:t>
            </w:r>
          </w:p>
        </w:tc>
        <w:tc>
          <w:tcPr>
            <w:tcW w:w="647" w:type="pct"/>
            <w:vMerge/>
          </w:tcPr>
          <w:p w:rsidR="00894519" w:rsidRPr="00894519" w:rsidRDefault="00894519" w:rsidP="00894519">
            <w:pPr>
              <w:contextualSpacing/>
            </w:pPr>
          </w:p>
        </w:tc>
      </w:tr>
      <w:tr w:rsidR="00894519" w:rsidRPr="00894519" w:rsidTr="001B7270">
        <w:trPr>
          <w:trHeight w:val="831"/>
        </w:trPr>
        <w:tc>
          <w:tcPr>
            <w:tcW w:w="164" w:type="pct"/>
            <w:vMerge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26" w:type="pct"/>
          </w:tcPr>
          <w:p w:rsidR="00894519" w:rsidRPr="00894519" w:rsidRDefault="00894519" w:rsidP="00894519">
            <w:pPr>
              <w:pStyle w:val="ConsPlusNormal"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519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молодых людей в возрасте от 14 до 35 лет, проживающих в городском округе, принявших участие в акции «Свеча памяти», человек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</w:pPr>
            <w:r w:rsidRPr="00894519">
              <w:t>2022-2024</w:t>
            </w:r>
          </w:p>
        </w:tc>
        <w:tc>
          <w:tcPr>
            <w:tcW w:w="647" w:type="pct"/>
            <w:vMerge/>
          </w:tcPr>
          <w:p w:rsidR="00894519" w:rsidRPr="00894519" w:rsidRDefault="00894519" w:rsidP="00894519">
            <w:pPr>
              <w:contextualSpacing/>
            </w:pPr>
          </w:p>
        </w:tc>
      </w:tr>
      <w:tr w:rsidR="00894519" w:rsidRPr="00894519" w:rsidTr="001B7270">
        <w:trPr>
          <w:trHeight w:val="1618"/>
        </w:trPr>
        <w:tc>
          <w:tcPr>
            <w:tcW w:w="164" w:type="pct"/>
            <w:vMerge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26" w:type="pct"/>
          </w:tcPr>
          <w:p w:rsidR="00894519" w:rsidRPr="00894519" w:rsidRDefault="00894519" w:rsidP="00894519">
            <w:pPr>
              <w:pStyle w:val="ConsPlusNormal"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519">
              <w:rPr>
                <w:rFonts w:ascii="Times New Roman" w:hAnsi="Times New Roman"/>
                <w:sz w:val="24"/>
                <w:szCs w:val="24"/>
              </w:rPr>
              <w:t>Мероприятия, посвященные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молодых людей в возрасте от 14 до 35 лет, проживающих в городском округе, принявших участие мероприятиях, посвященных памяти сотрудников правоохранительных органов, человек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</w:pPr>
            <w:r w:rsidRPr="00894519">
              <w:t>2022-2024</w:t>
            </w:r>
          </w:p>
        </w:tc>
        <w:tc>
          <w:tcPr>
            <w:tcW w:w="647" w:type="pct"/>
            <w:vMerge/>
          </w:tcPr>
          <w:p w:rsidR="00894519" w:rsidRPr="00894519" w:rsidRDefault="00894519" w:rsidP="00894519">
            <w:pPr>
              <w:contextualSpacing/>
            </w:pPr>
          </w:p>
        </w:tc>
      </w:tr>
      <w:tr w:rsidR="00894519" w:rsidRPr="00894519" w:rsidTr="001B7270">
        <w:trPr>
          <w:trHeight w:val="995"/>
        </w:trPr>
        <w:tc>
          <w:tcPr>
            <w:tcW w:w="164" w:type="pct"/>
            <w:vMerge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26" w:type="pct"/>
          </w:tcPr>
          <w:p w:rsidR="00894519" w:rsidRPr="00894519" w:rsidRDefault="00894519" w:rsidP="00894519">
            <w:pPr>
              <w:pStyle w:val="ConsPlusNormal"/>
              <w:autoSpaceDE/>
              <w:autoSpaceDN/>
              <w:adjustRightInd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519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 акции «Я-Гражданин России»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молодых людей в возрасте от 14 до 35 лет, проживающих в городском округе, принявших участие в акции «Я-Гражданин России», человек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</w:pPr>
            <w:r w:rsidRPr="00894519">
              <w:t>2022-2024</w:t>
            </w:r>
          </w:p>
        </w:tc>
        <w:tc>
          <w:tcPr>
            <w:tcW w:w="647" w:type="pct"/>
            <w:vMerge/>
          </w:tcPr>
          <w:p w:rsidR="00894519" w:rsidRPr="00894519" w:rsidRDefault="00894519" w:rsidP="00894519">
            <w:pPr>
              <w:contextualSpacing/>
            </w:pPr>
          </w:p>
        </w:tc>
      </w:tr>
      <w:tr w:rsidR="00894519" w:rsidRPr="00894519" w:rsidTr="001B7270">
        <w:trPr>
          <w:trHeight w:val="1035"/>
        </w:trPr>
        <w:tc>
          <w:tcPr>
            <w:tcW w:w="164" w:type="pct"/>
            <w:vMerge w:val="restart"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pct"/>
            <w:vMerge w:val="restart"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</w:pPr>
            <w:r w:rsidRPr="00894519">
              <w:t>Реализация интеллектуального, творческого и спортивного потенциала молодежи в интересах общественного развития</w:t>
            </w:r>
          </w:p>
        </w:tc>
        <w:tc>
          <w:tcPr>
            <w:tcW w:w="1326" w:type="pct"/>
          </w:tcPr>
          <w:p w:rsidR="00894519" w:rsidRPr="00894519" w:rsidRDefault="00894519" w:rsidP="00894519">
            <w:pPr>
              <w:pStyle w:val="aa"/>
              <w:spacing w:line="240" w:lineRule="auto"/>
              <w:ind w:left="-26"/>
              <w:contextualSpacing/>
              <w:rPr>
                <w:sz w:val="24"/>
                <w:szCs w:val="24"/>
              </w:rPr>
            </w:pPr>
            <w:r w:rsidRPr="00894519">
              <w:rPr>
                <w:sz w:val="24"/>
                <w:szCs w:val="24"/>
              </w:rPr>
              <w:t>Организация и проведение муниципального этапа игры «Клуб Веселых и Находчивых»</w:t>
            </w:r>
          </w:p>
          <w:p w:rsidR="00894519" w:rsidRPr="00894519" w:rsidRDefault="00894519" w:rsidP="00894519">
            <w:pPr>
              <w:pStyle w:val="aa"/>
              <w:spacing w:line="240" w:lineRule="auto"/>
              <w:ind w:left="-26"/>
              <w:contextualSpacing/>
              <w:rPr>
                <w:sz w:val="24"/>
                <w:szCs w:val="24"/>
              </w:rPr>
            </w:pP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молодых людей в возрасте от 14 до 35 лет, проживающих в городском округе, принявших участие в муниципальном этапе игры «Клуб веселых и находчивых», человек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2022-2024</w:t>
            </w:r>
          </w:p>
        </w:tc>
        <w:tc>
          <w:tcPr>
            <w:tcW w:w="647" w:type="pct"/>
            <w:vMerge w:val="restart"/>
          </w:tcPr>
          <w:p w:rsidR="00894519" w:rsidRPr="00894519" w:rsidRDefault="00894519" w:rsidP="00894519">
            <w:pPr>
              <w:contextualSpacing/>
            </w:pPr>
            <w:r w:rsidRPr="00894519">
              <w:t xml:space="preserve">Управление образования администрации </w:t>
            </w:r>
            <w:proofErr w:type="spellStart"/>
            <w:r w:rsidRPr="00894519">
              <w:t>Чебаркульского</w:t>
            </w:r>
            <w:proofErr w:type="spellEnd"/>
            <w:r w:rsidRPr="00894519">
              <w:t xml:space="preserve"> городского округа</w:t>
            </w:r>
          </w:p>
        </w:tc>
      </w:tr>
      <w:tr w:rsidR="00894519" w:rsidRPr="00894519" w:rsidTr="001B7270">
        <w:trPr>
          <w:trHeight w:val="45"/>
        </w:trPr>
        <w:tc>
          <w:tcPr>
            <w:tcW w:w="164" w:type="pct"/>
            <w:vMerge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26" w:type="pct"/>
          </w:tcPr>
          <w:p w:rsidR="00894519" w:rsidRPr="00894519" w:rsidRDefault="00894519" w:rsidP="00894519">
            <w:pPr>
              <w:pStyle w:val="aa"/>
              <w:spacing w:line="240" w:lineRule="auto"/>
              <w:ind w:left="-26"/>
              <w:contextualSpacing/>
              <w:rPr>
                <w:sz w:val="24"/>
                <w:szCs w:val="24"/>
              </w:rPr>
            </w:pPr>
            <w:r w:rsidRPr="00894519">
              <w:rPr>
                <w:sz w:val="24"/>
                <w:szCs w:val="24"/>
              </w:rPr>
              <w:t>Проведение мероприятий по профилактике и здоровья молодежи; пропаганде здорового образа жизни в рамках реализации походов и сплавов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молодых людей в возрасте от 14 до 35 лет, проживающих в городском округе, принявших участие в походах и сплавах для молодежи, человек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2022-2024</w:t>
            </w:r>
          </w:p>
        </w:tc>
        <w:tc>
          <w:tcPr>
            <w:tcW w:w="647" w:type="pct"/>
            <w:vMerge/>
          </w:tcPr>
          <w:p w:rsidR="00894519" w:rsidRPr="00894519" w:rsidRDefault="00894519" w:rsidP="00894519">
            <w:pPr>
              <w:contextualSpacing/>
            </w:pPr>
          </w:p>
        </w:tc>
      </w:tr>
      <w:tr w:rsidR="00894519" w:rsidRPr="00894519" w:rsidTr="001B7270">
        <w:trPr>
          <w:trHeight w:val="1035"/>
        </w:trPr>
        <w:tc>
          <w:tcPr>
            <w:tcW w:w="164" w:type="pct"/>
            <w:vMerge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26" w:type="pct"/>
          </w:tcPr>
          <w:p w:rsidR="00894519" w:rsidRPr="00894519" w:rsidRDefault="00894519" w:rsidP="00894519">
            <w:pPr>
              <w:pStyle w:val="aa"/>
              <w:spacing w:line="240" w:lineRule="auto"/>
              <w:ind w:left="-26"/>
              <w:contextualSpacing/>
              <w:rPr>
                <w:sz w:val="24"/>
                <w:szCs w:val="24"/>
              </w:rPr>
            </w:pPr>
            <w:r w:rsidRPr="00894519">
              <w:rPr>
                <w:sz w:val="24"/>
                <w:szCs w:val="24"/>
              </w:rPr>
              <w:t>Организация и проведение акции «Город без наркотиков»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молодых людей в возрасте от 14 до 35 лет, проживающих в городском округе, принявших участие в акции «Город без наркотиков», человек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2022-2024</w:t>
            </w:r>
          </w:p>
        </w:tc>
        <w:tc>
          <w:tcPr>
            <w:tcW w:w="647" w:type="pct"/>
            <w:vMerge/>
          </w:tcPr>
          <w:p w:rsidR="00894519" w:rsidRPr="00894519" w:rsidRDefault="00894519" w:rsidP="00894519">
            <w:pPr>
              <w:contextualSpacing/>
            </w:pPr>
          </w:p>
        </w:tc>
      </w:tr>
      <w:tr w:rsidR="00894519" w:rsidRPr="00894519" w:rsidTr="001B7270">
        <w:trPr>
          <w:trHeight w:val="1035"/>
        </w:trPr>
        <w:tc>
          <w:tcPr>
            <w:tcW w:w="164" w:type="pct"/>
            <w:vMerge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26" w:type="pct"/>
          </w:tcPr>
          <w:p w:rsidR="00894519" w:rsidRPr="00894519" w:rsidRDefault="00894519" w:rsidP="00894519">
            <w:pPr>
              <w:pStyle w:val="aa"/>
              <w:spacing w:line="240" w:lineRule="auto"/>
              <w:ind w:left="-26"/>
              <w:contextualSpacing/>
              <w:rPr>
                <w:sz w:val="24"/>
                <w:szCs w:val="24"/>
              </w:rPr>
            </w:pPr>
            <w:r w:rsidRPr="00894519">
              <w:rPr>
                <w:sz w:val="24"/>
                <w:szCs w:val="24"/>
              </w:rPr>
              <w:t>Организация молодежных форумом и слетов активистов и добровольцев города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молодых людей в возрасте от 14 до 35 лет, проживающих в городском округе, принявших участие в форумах и слетах активистов и добровольцев, человек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2022-2024</w:t>
            </w:r>
          </w:p>
        </w:tc>
        <w:tc>
          <w:tcPr>
            <w:tcW w:w="647" w:type="pct"/>
            <w:vMerge/>
          </w:tcPr>
          <w:p w:rsidR="00894519" w:rsidRPr="00894519" w:rsidRDefault="00894519" w:rsidP="00894519">
            <w:pPr>
              <w:contextualSpacing/>
            </w:pPr>
          </w:p>
        </w:tc>
      </w:tr>
      <w:tr w:rsidR="00894519" w:rsidRPr="00894519" w:rsidTr="001B7270">
        <w:trPr>
          <w:trHeight w:val="1035"/>
        </w:trPr>
        <w:tc>
          <w:tcPr>
            <w:tcW w:w="164" w:type="pct"/>
            <w:vMerge/>
          </w:tcPr>
          <w:p w:rsidR="00894519" w:rsidRPr="00894519" w:rsidRDefault="00894519" w:rsidP="0089451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326" w:type="pct"/>
          </w:tcPr>
          <w:p w:rsidR="00894519" w:rsidRPr="00894519" w:rsidRDefault="00894519" w:rsidP="00894519">
            <w:pPr>
              <w:pStyle w:val="aa"/>
              <w:spacing w:line="240" w:lineRule="auto"/>
              <w:ind w:left="-26"/>
              <w:contextualSpacing/>
              <w:rPr>
                <w:sz w:val="24"/>
                <w:szCs w:val="24"/>
              </w:rPr>
            </w:pPr>
            <w:r w:rsidRPr="00894519">
              <w:rPr>
                <w:sz w:val="24"/>
                <w:szCs w:val="24"/>
              </w:rPr>
              <w:t>Муниципальный отбор кандидатов на соискание ежегодной стипендии Губернатора Челябинской области для поддержки талантливой молодежи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молодых людей в возрасте от 14 до 35 лет, проживающих в городском округе, принявших участие в муниципальном отборе кандидатов на соискание ежегодной стипендии Губернатора Челябинской области, человек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2022-2024</w:t>
            </w:r>
          </w:p>
        </w:tc>
        <w:tc>
          <w:tcPr>
            <w:tcW w:w="647" w:type="pct"/>
            <w:vMerge/>
          </w:tcPr>
          <w:p w:rsidR="00894519" w:rsidRPr="00894519" w:rsidRDefault="00894519" w:rsidP="00894519">
            <w:pPr>
              <w:contextualSpacing/>
            </w:pPr>
          </w:p>
        </w:tc>
      </w:tr>
      <w:tr w:rsidR="00894519" w:rsidRPr="00894519" w:rsidTr="001B7270">
        <w:trPr>
          <w:trHeight w:val="626"/>
        </w:trPr>
        <w:tc>
          <w:tcPr>
            <w:tcW w:w="5000" w:type="pct"/>
            <w:gridSpan w:val="6"/>
          </w:tcPr>
          <w:p w:rsidR="00894519" w:rsidRPr="00894519" w:rsidRDefault="00894519" w:rsidP="00894519">
            <w:pPr>
              <w:pStyle w:val="af2"/>
              <w:spacing w:before="0" w:beforeAutospacing="0" w:after="0" w:afterAutospacing="0"/>
              <w:contextualSpacing/>
              <w:jc w:val="center"/>
            </w:pPr>
            <w:r w:rsidRPr="00894519">
              <w:t xml:space="preserve">Цель 2: Создание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</w:t>
            </w:r>
            <w:proofErr w:type="spellStart"/>
            <w:r w:rsidRPr="00894519">
              <w:t>Чебаркульского</w:t>
            </w:r>
            <w:proofErr w:type="spellEnd"/>
            <w:r w:rsidRPr="00894519">
              <w:t xml:space="preserve"> городского округа</w:t>
            </w:r>
          </w:p>
        </w:tc>
      </w:tr>
      <w:tr w:rsidR="00894519" w:rsidRPr="00894519" w:rsidTr="001B7270">
        <w:trPr>
          <w:trHeight w:val="1582"/>
        </w:trPr>
        <w:tc>
          <w:tcPr>
            <w:tcW w:w="164" w:type="pct"/>
            <w:vMerge w:val="restart"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  <w:r w:rsidRPr="00894519">
              <w:t>3</w:t>
            </w:r>
          </w:p>
        </w:tc>
        <w:tc>
          <w:tcPr>
            <w:tcW w:w="896" w:type="pct"/>
            <w:vMerge w:val="restart"/>
          </w:tcPr>
          <w:p w:rsidR="00894519" w:rsidRPr="00894519" w:rsidRDefault="00894519" w:rsidP="00894519">
            <w:pPr>
              <w:pStyle w:val="aa"/>
              <w:spacing w:line="240" w:lineRule="auto"/>
              <w:ind w:left="61"/>
              <w:contextualSpacing/>
              <w:rPr>
                <w:sz w:val="24"/>
                <w:szCs w:val="24"/>
              </w:rPr>
            </w:pPr>
            <w:r w:rsidRPr="00894519">
              <w:rPr>
                <w:sz w:val="24"/>
                <w:szCs w:val="24"/>
              </w:rPr>
              <w:t>Создание условий для более полного вовлечения молодежи в социально-экономическую, политическую и культурную жизнь общества</w:t>
            </w:r>
          </w:p>
        </w:tc>
        <w:tc>
          <w:tcPr>
            <w:tcW w:w="1326" w:type="pct"/>
          </w:tcPr>
          <w:p w:rsidR="00894519" w:rsidRPr="00894519" w:rsidRDefault="00894519" w:rsidP="00894519">
            <w:pPr>
              <w:contextualSpacing/>
            </w:pPr>
            <w:r w:rsidRPr="00894519">
              <w:t xml:space="preserve">Организация мероприятий, направленных на повышение электоральной активности и правовой грамотности 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молодых людей в возрасте от 14 до 35 лет, проживающих в городском округе, принявших участие в мероприятиях, направленных на повышение электоральной активности и правовой грамотности, человек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</w:pPr>
            <w:r w:rsidRPr="00894519">
              <w:t>2022-2024</w:t>
            </w:r>
          </w:p>
        </w:tc>
        <w:tc>
          <w:tcPr>
            <w:tcW w:w="647" w:type="pct"/>
            <w:vMerge w:val="restart"/>
          </w:tcPr>
          <w:p w:rsidR="00894519" w:rsidRPr="00894519" w:rsidRDefault="00894519" w:rsidP="00894519">
            <w:pPr>
              <w:contextualSpacing/>
            </w:pPr>
            <w:r w:rsidRPr="00894519">
              <w:t xml:space="preserve">Управление образования администрации </w:t>
            </w:r>
            <w:proofErr w:type="spellStart"/>
            <w:r w:rsidRPr="00894519">
              <w:t>Чебаркульского</w:t>
            </w:r>
            <w:proofErr w:type="spellEnd"/>
            <w:r w:rsidRPr="00894519">
              <w:t xml:space="preserve"> городского округа</w:t>
            </w:r>
          </w:p>
        </w:tc>
      </w:tr>
      <w:tr w:rsidR="00894519" w:rsidRPr="00894519" w:rsidTr="001B7270">
        <w:trPr>
          <w:trHeight w:val="1050"/>
        </w:trPr>
        <w:tc>
          <w:tcPr>
            <w:tcW w:w="164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96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26" w:type="pct"/>
          </w:tcPr>
          <w:p w:rsidR="00894519" w:rsidRPr="00894519" w:rsidRDefault="00894519" w:rsidP="00894519">
            <w:pPr>
              <w:contextualSpacing/>
            </w:pPr>
            <w:r w:rsidRPr="00894519">
              <w:t>Организация и проведение акции «этот город самый лучший город на Земле»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молодых людей в возрасте от 14 до 35 лет, проживающих в городском округе, принявших участие в акции «Этот город самый лучший, город на Земле», посвященный Дню Рождению года Чебаркуль, человек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</w:pPr>
            <w:r w:rsidRPr="00894519">
              <w:t>2022-2024</w:t>
            </w:r>
          </w:p>
        </w:tc>
        <w:tc>
          <w:tcPr>
            <w:tcW w:w="647" w:type="pct"/>
            <w:vMerge/>
          </w:tcPr>
          <w:p w:rsidR="00894519" w:rsidRPr="00894519" w:rsidRDefault="00894519" w:rsidP="00894519">
            <w:pPr>
              <w:contextualSpacing/>
            </w:pPr>
          </w:p>
        </w:tc>
      </w:tr>
      <w:tr w:rsidR="00894519" w:rsidRPr="00894519" w:rsidTr="001B7270">
        <w:trPr>
          <w:trHeight w:val="1746"/>
        </w:trPr>
        <w:tc>
          <w:tcPr>
            <w:tcW w:w="164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96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26" w:type="pct"/>
          </w:tcPr>
          <w:p w:rsidR="00894519" w:rsidRPr="00894519" w:rsidRDefault="00894519" w:rsidP="00894519">
            <w:pPr>
              <w:contextualSpacing/>
            </w:pPr>
            <w:r w:rsidRPr="00894519">
              <w:t xml:space="preserve">Организация </w:t>
            </w:r>
            <w:proofErr w:type="gramStart"/>
            <w:r w:rsidRPr="00894519">
              <w:t>и  проведение</w:t>
            </w:r>
            <w:proofErr w:type="gramEnd"/>
            <w:r w:rsidRPr="00894519">
              <w:t xml:space="preserve"> фестиваля экстремальных видов спорта, спортивных танцев, </w:t>
            </w:r>
            <w:proofErr w:type="spellStart"/>
            <w:r w:rsidRPr="00894519">
              <w:t>автозвука</w:t>
            </w:r>
            <w:proofErr w:type="spellEnd"/>
            <w:r w:rsidRPr="00894519">
              <w:t xml:space="preserve"> и БПАН «</w:t>
            </w:r>
            <w:r w:rsidRPr="00894519">
              <w:rPr>
                <w:lang w:val="en-US"/>
              </w:rPr>
              <w:t>RIGHT</w:t>
            </w:r>
            <w:r w:rsidRPr="00894519">
              <w:t xml:space="preserve"> </w:t>
            </w:r>
            <w:r w:rsidRPr="00894519">
              <w:rPr>
                <w:lang w:val="en-US"/>
              </w:rPr>
              <w:t>NOW</w:t>
            </w:r>
            <w:r w:rsidRPr="00894519">
              <w:t>». Открытие и закрытие сезона.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 xml:space="preserve">количество молодых людей в возрасте от 14 до 35 лет, проживающих в городском округе, принявших участие в фестивале экстремальных видов спорта, спортивных танцев, </w:t>
            </w:r>
            <w:proofErr w:type="spellStart"/>
            <w:r w:rsidRPr="00894519">
              <w:t>автозвука</w:t>
            </w:r>
            <w:proofErr w:type="spellEnd"/>
            <w:r w:rsidRPr="00894519">
              <w:t xml:space="preserve"> и БПАН «RIGHT NOW». Открытие и закрытие сезона, человек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</w:pPr>
            <w:r w:rsidRPr="00894519">
              <w:t>2022-2024</w:t>
            </w:r>
          </w:p>
        </w:tc>
        <w:tc>
          <w:tcPr>
            <w:tcW w:w="647" w:type="pct"/>
            <w:vMerge/>
          </w:tcPr>
          <w:p w:rsidR="00894519" w:rsidRPr="00894519" w:rsidRDefault="00894519" w:rsidP="00894519">
            <w:pPr>
              <w:contextualSpacing/>
            </w:pPr>
          </w:p>
        </w:tc>
      </w:tr>
      <w:tr w:rsidR="00894519" w:rsidRPr="00894519" w:rsidTr="001B7270">
        <w:trPr>
          <w:trHeight w:val="1140"/>
        </w:trPr>
        <w:tc>
          <w:tcPr>
            <w:tcW w:w="164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96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26" w:type="pct"/>
          </w:tcPr>
          <w:p w:rsidR="00894519" w:rsidRPr="00894519" w:rsidRDefault="00894519" w:rsidP="00894519">
            <w:pPr>
              <w:contextualSpacing/>
            </w:pPr>
            <w:r w:rsidRPr="00894519">
              <w:t>Организация и проведение временного трудоустройства несовершеннолетних граждан в возрасте от 14 до 18 лет в летний период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рабочих мест, организованных для молодежи в летний период, единиц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</w:pPr>
            <w:r w:rsidRPr="00894519">
              <w:t>2022-2024</w:t>
            </w:r>
          </w:p>
        </w:tc>
        <w:tc>
          <w:tcPr>
            <w:tcW w:w="647" w:type="pct"/>
            <w:vMerge/>
          </w:tcPr>
          <w:p w:rsidR="00894519" w:rsidRPr="00894519" w:rsidRDefault="00894519" w:rsidP="00894519">
            <w:pPr>
              <w:contextualSpacing/>
            </w:pPr>
          </w:p>
        </w:tc>
      </w:tr>
      <w:tr w:rsidR="00894519" w:rsidRPr="00894519" w:rsidTr="001B7270">
        <w:trPr>
          <w:trHeight w:val="1066"/>
        </w:trPr>
        <w:tc>
          <w:tcPr>
            <w:tcW w:w="164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96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26" w:type="pct"/>
          </w:tcPr>
          <w:p w:rsidR="00894519" w:rsidRPr="00894519" w:rsidRDefault="00894519" w:rsidP="00894519">
            <w:pPr>
              <w:contextualSpacing/>
            </w:pPr>
            <w:r w:rsidRPr="00894519">
              <w:t>Организация и проведение круглого стола по противодействию экстремизму и терроризму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молодых людей в возрасте от 14 до 35 лет, проживающих в городском округе, принявших участие в круглом столе по противодействию экстремизму и терроризму, человек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</w:pPr>
            <w:r w:rsidRPr="00894519">
              <w:t>2022-2024</w:t>
            </w:r>
          </w:p>
        </w:tc>
        <w:tc>
          <w:tcPr>
            <w:tcW w:w="647" w:type="pct"/>
            <w:vMerge/>
          </w:tcPr>
          <w:p w:rsidR="00894519" w:rsidRPr="00894519" w:rsidRDefault="00894519" w:rsidP="00894519">
            <w:pPr>
              <w:contextualSpacing/>
            </w:pPr>
          </w:p>
        </w:tc>
      </w:tr>
      <w:tr w:rsidR="00894519" w:rsidRPr="00894519" w:rsidTr="001B7270">
        <w:trPr>
          <w:trHeight w:val="1050"/>
        </w:trPr>
        <w:tc>
          <w:tcPr>
            <w:tcW w:w="164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96" w:type="pct"/>
            <w:vMerge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26" w:type="pct"/>
          </w:tcPr>
          <w:p w:rsidR="00894519" w:rsidRPr="00894519" w:rsidRDefault="00894519" w:rsidP="00894519">
            <w:pPr>
              <w:contextualSpacing/>
            </w:pPr>
            <w:r w:rsidRPr="00894519">
              <w:t>Организация мероприятия для поощрения активистов и добровольцев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молодых людей в возрасте от 14 до 35 лет, проживающих в городском округе, принявших участие в мероприятии поощрения активистов и добровольцев города, человек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</w:pPr>
            <w:r w:rsidRPr="00894519">
              <w:t>2022-2024</w:t>
            </w:r>
          </w:p>
        </w:tc>
        <w:tc>
          <w:tcPr>
            <w:tcW w:w="647" w:type="pct"/>
            <w:vMerge/>
          </w:tcPr>
          <w:p w:rsidR="00894519" w:rsidRPr="00894519" w:rsidRDefault="00894519" w:rsidP="00894519">
            <w:pPr>
              <w:contextualSpacing/>
            </w:pPr>
          </w:p>
        </w:tc>
      </w:tr>
      <w:tr w:rsidR="00894519" w:rsidRPr="00894519" w:rsidTr="001B7270">
        <w:trPr>
          <w:trHeight w:val="1050"/>
        </w:trPr>
        <w:tc>
          <w:tcPr>
            <w:tcW w:w="164" w:type="pct"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96" w:type="pct"/>
          </w:tcPr>
          <w:p w:rsidR="00894519" w:rsidRPr="00894519" w:rsidRDefault="00894519" w:rsidP="0089451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26" w:type="pct"/>
          </w:tcPr>
          <w:p w:rsidR="00894519" w:rsidRPr="00894519" w:rsidRDefault="00894519" w:rsidP="00894519">
            <w:pPr>
              <w:contextualSpacing/>
            </w:pPr>
            <w:r w:rsidRPr="00894519">
              <w:t>Предоставление иного межбюджетного трансферта на создание и развитие молодежного пространства</w:t>
            </w:r>
          </w:p>
        </w:tc>
        <w:tc>
          <w:tcPr>
            <w:tcW w:w="1515" w:type="pct"/>
          </w:tcPr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созданных молодежных пространств;</w:t>
            </w:r>
          </w:p>
          <w:p w:rsidR="00894519" w:rsidRPr="00894519" w:rsidRDefault="00894519" w:rsidP="00894519">
            <w:pPr>
              <w:contextualSpacing/>
              <w:jc w:val="both"/>
            </w:pPr>
            <w:r w:rsidRPr="00894519">
              <w:t>количество молодых людей, принимающих участие в форумах, фестивалях, конкурсах, соревнованиях различного уровня</w:t>
            </w:r>
          </w:p>
        </w:tc>
        <w:tc>
          <w:tcPr>
            <w:tcW w:w="452" w:type="pct"/>
          </w:tcPr>
          <w:p w:rsidR="00894519" w:rsidRPr="00894519" w:rsidRDefault="00894519" w:rsidP="00894519">
            <w:pPr>
              <w:contextualSpacing/>
            </w:pPr>
            <w:r w:rsidRPr="00894519">
              <w:t>2022-2024</w:t>
            </w:r>
          </w:p>
        </w:tc>
        <w:tc>
          <w:tcPr>
            <w:tcW w:w="647" w:type="pct"/>
          </w:tcPr>
          <w:p w:rsidR="00894519" w:rsidRPr="00894519" w:rsidRDefault="00894519" w:rsidP="00894519">
            <w:pPr>
              <w:contextualSpacing/>
            </w:pPr>
          </w:p>
        </w:tc>
      </w:tr>
    </w:tbl>
    <w:p w:rsidR="00C6274E" w:rsidRPr="00894519" w:rsidRDefault="00C6274E" w:rsidP="00894519">
      <w:pPr>
        <w:contextualSpacing/>
        <w:rPr>
          <w:sz w:val="28"/>
          <w:szCs w:val="28"/>
        </w:rPr>
      </w:pPr>
    </w:p>
    <w:p w:rsidR="00B41809" w:rsidRPr="00894519" w:rsidRDefault="00B41809" w:rsidP="00894519">
      <w:pPr>
        <w:contextualSpacing/>
        <w:rPr>
          <w:sz w:val="28"/>
          <w:szCs w:val="28"/>
        </w:rPr>
      </w:pPr>
    </w:p>
    <w:p w:rsidR="00894519" w:rsidRPr="00894519" w:rsidRDefault="00894519">
      <w:pPr>
        <w:contextualSpacing/>
        <w:rPr>
          <w:sz w:val="28"/>
          <w:szCs w:val="28"/>
        </w:rPr>
      </w:pPr>
    </w:p>
    <w:sectPr w:rsidR="00894519" w:rsidRPr="00894519" w:rsidSect="008732FC">
      <w:pgSz w:w="16838" w:h="11906" w:orient="landscape"/>
      <w:pgMar w:top="1701" w:right="1134" w:bottom="567" w:left="1134" w:header="68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A1" w:rsidRDefault="00D217A1">
      <w:r>
        <w:separator/>
      </w:r>
    </w:p>
  </w:endnote>
  <w:endnote w:type="continuationSeparator" w:id="0">
    <w:p w:rsidR="00D217A1" w:rsidRDefault="00D2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A1" w:rsidRDefault="00D217A1">
      <w:r>
        <w:separator/>
      </w:r>
    </w:p>
  </w:footnote>
  <w:footnote w:type="continuationSeparator" w:id="0">
    <w:p w:rsidR="00D217A1" w:rsidRDefault="00D21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360318"/>
      <w:docPartObj>
        <w:docPartGallery w:val="Page Numbers (Top of Page)"/>
        <w:docPartUnique/>
      </w:docPartObj>
    </w:sdtPr>
    <w:sdtEndPr/>
    <w:sdtContent>
      <w:p w:rsidR="00023F49" w:rsidRDefault="00023F49" w:rsidP="008732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E9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C3B"/>
    <w:multiLevelType w:val="hybridMultilevel"/>
    <w:tmpl w:val="1C541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762D2"/>
    <w:multiLevelType w:val="hybridMultilevel"/>
    <w:tmpl w:val="ADBEE0F4"/>
    <w:lvl w:ilvl="0" w:tplc="9CF26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2E6D09"/>
    <w:multiLevelType w:val="hybridMultilevel"/>
    <w:tmpl w:val="02EED63E"/>
    <w:lvl w:ilvl="0" w:tplc="D2B61F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505093"/>
    <w:multiLevelType w:val="hybridMultilevel"/>
    <w:tmpl w:val="8BA240A4"/>
    <w:lvl w:ilvl="0" w:tplc="3F982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1C67A9"/>
    <w:multiLevelType w:val="hybridMultilevel"/>
    <w:tmpl w:val="8BA240A4"/>
    <w:lvl w:ilvl="0" w:tplc="3F982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0B2C79"/>
    <w:multiLevelType w:val="hybridMultilevel"/>
    <w:tmpl w:val="484023B8"/>
    <w:lvl w:ilvl="0" w:tplc="3F982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7D3D69"/>
    <w:multiLevelType w:val="hybridMultilevel"/>
    <w:tmpl w:val="8054A53C"/>
    <w:lvl w:ilvl="0" w:tplc="BC7EB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C34469"/>
    <w:multiLevelType w:val="hybridMultilevel"/>
    <w:tmpl w:val="441A1B8E"/>
    <w:lvl w:ilvl="0" w:tplc="5046DF6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616B1365"/>
    <w:multiLevelType w:val="hybridMultilevel"/>
    <w:tmpl w:val="69A8BF2E"/>
    <w:lvl w:ilvl="0" w:tplc="82440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DF"/>
    <w:rsid w:val="00011B46"/>
    <w:rsid w:val="0001306F"/>
    <w:rsid w:val="00015665"/>
    <w:rsid w:val="00016C4C"/>
    <w:rsid w:val="00016D36"/>
    <w:rsid w:val="00023F49"/>
    <w:rsid w:val="00025165"/>
    <w:rsid w:val="00052DA7"/>
    <w:rsid w:val="000802A1"/>
    <w:rsid w:val="00091185"/>
    <w:rsid w:val="00094C07"/>
    <w:rsid w:val="00097C14"/>
    <w:rsid w:val="000C22FE"/>
    <w:rsid w:val="000C62F0"/>
    <w:rsid w:val="000D79A3"/>
    <w:rsid w:val="000E0100"/>
    <w:rsid w:val="000E10E2"/>
    <w:rsid w:val="000E65EF"/>
    <w:rsid w:val="000E7535"/>
    <w:rsid w:val="000F4CEF"/>
    <w:rsid w:val="001117DA"/>
    <w:rsid w:val="001166E7"/>
    <w:rsid w:val="001213C1"/>
    <w:rsid w:val="001236D4"/>
    <w:rsid w:val="001250E7"/>
    <w:rsid w:val="00126606"/>
    <w:rsid w:val="001269BB"/>
    <w:rsid w:val="0013746C"/>
    <w:rsid w:val="00141976"/>
    <w:rsid w:val="001864EB"/>
    <w:rsid w:val="001944CC"/>
    <w:rsid w:val="00197AED"/>
    <w:rsid w:val="001A0C89"/>
    <w:rsid w:val="001B0863"/>
    <w:rsid w:val="001B1FF2"/>
    <w:rsid w:val="001C3280"/>
    <w:rsid w:val="001C7DA3"/>
    <w:rsid w:val="001D42ED"/>
    <w:rsid w:val="001F38CC"/>
    <w:rsid w:val="0020024B"/>
    <w:rsid w:val="00203DB1"/>
    <w:rsid w:val="00204ACB"/>
    <w:rsid w:val="00214631"/>
    <w:rsid w:val="00215729"/>
    <w:rsid w:val="00225E23"/>
    <w:rsid w:val="00232DA1"/>
    <w:rsid w:val="00235736"/>
    <w:rsid w:val="00240218"/>
    <w:rsid w:val="00246612"/>
    <w:rsid w:val="0025476D"/>
    <w:rsid w:val="00264035"/>
    <w:rsid w:val="00273E1B"/>
    <w:rsid w:val="0027611E"/>
    <w:rsid w:val="00290B59"/>
    <w:rsid w:val="002922AB"/>
    <w:rsid w:val="002958F2"/>
    <w:rsid w:val="002A15E3"/>
    <w:rsid w:val="002A4F4A"/>
    <w:rsid w:val="002A743D"/>
    <w:rsid w:val="002B3831"/>
    <w:rsid w:val="002B788D"/>
    <w:rsid w:val="002C0C35"/>
    <w:rsid w:val="002E4238"/>
    <w:rsid w:val="002F4818"/>
    <w:rsid w:val="00321489"/>
    <w:rsid w:val="00321EDF"/>
    <w:rsid w:val="00322247"/>
    <w:rsid w:val="003238A3"/>
    <w:rsid w:val="00346AFE"/>
    <w:rsid w:val="00351094"/>
    <w:rsid w:val="00356B45"/>
    <w:rsid w:val="00366831"/>
    <w:rsid w:val="0037009A"/>
    <w:rsid w:val="00376246"/>
    <w:rsid w:val="003806D3"/>
    <w:rsid w:val="00382260"/>
    <w:rsid w:val="00391897"/>
    <w:rsid w:val="0039633C"/>
    <w:rsid w:val="003A43AF"/>
    <w:rsid w:val="003C20B1"/>
    <w:rsid w:val="003D72D5"/>
    <w:rsid w:val="003E4A2C"/>
    <w:rsid w:val="003E4A70"/>
    <w:rsid w:val="003E6D73"/>
    <w:rsid w:val="003F035B"/>
    <w:rsid w:val="004033F4"/>
    <w:rsid w:val="00411DE6"/>
    <w:rsid w:val="0041431E"/>
    <w:rsid w:val="00426D5D"/>
    <w:rsid w:val="00431753"/>
    <w:rsid w:val="00436C71"/>
    <w:rsid w:val="0046373D"/>
    <w:rsid w:val="004806C9"/>
    <w:rsid w:val="00494BF6"/>
    <w:rsid w:val="00494E5F"/>
    <w:rsid w:val="00496623"/>
    <w:rsid w:val="004A3DCA"/>
    <w:rsid w:val="004A4AAA"/>
    <w:rsid w:val="004A572C"/>
    <w:rsid w:val="004C6C91"/>
    <w:rsid w:val="004E4F25"/>
    <w:rsid w:val="0053331C"/>
    <w:rsid w:val="0054715E"/>
    <w:rsid w:val="00547804"/>
    <w:rsid w:val="00586E0A"/>
    <w:rsid w:val="005A6E90"/>
    <w:rsid w:val="005B5575"/>
    <w:rsid w:val="005B652A"/>
    <w:rsid w:val="005C3B27"/>
    <w:rsid w:val="005C3BF0"/>
    <w:rsid w:val="005D2F19"/>
    <w:rsid w:val="005E4E9A"/>
    <w:rsid w:val="005F2D90"/>
    <w:rsid w:val="005F3052"/>
    <w:rsid w:val="005F3F56"/>
    <w:rsid w:val="0062273A"/>
    <w:rsid w:val="00627619"/>
    <w:rsid w:val="00633338"/>
    <w:rsid w:val="00654CD8"/>
    <w:rsid w:val="006569D0"/>
    <w:rsid w:val="006742A3"/>
    <w:rsid w:val="006840CA"/>
    <w:rsid w:val="00684118"/>
    <w:rsid w:val="00684250"/>
    <w:rsid w:val="00686F53"/>
    <w:rsid w:val="0068704C"/>
    <w:rsid w:val="00696C55"/>
    <w:rsid w:val="006A38B0"/>
    <w:rsid w:val="006B00A2"/>
    <w:rsid w:val="006B3C3D"/>
    <w:rsid w:val="006D3423"/>
    <w:rsid w:val="006E0D1B"/>
    <w:rsid w:val="006E31F4"/>
    <w:rsid w:val="006E5D41"/>
    <w:rsid w:val="00702E86"/>
    <w:rsid w:val="00704B66"/>
    <w:rsid w:val="00704EC7"/>
    <w:rsid w:val="00705267"/>
    <w:rsid w:val="00705BDF"/>
    <w:rsid w:val="0072203C"/>
    <w:rsid w:val="0072367E"/>
    <w:rsid w:val="0073272B"/>
    <w:rsid w:val="0074032D"/>
    <w:rsid w:val="0074132F"/>
    <w:rsid w:val="00742F8C"/>
    <w:rsid w:val="0074760A"/>
    <w:rsid w:val="00760646"/>
    <w:rsid w:val="007739C5"/>
    <w:rsid w:val="00774228"/>
    <w:rsid w:val="0077689F"/>
    <w:rsid w:val="00782D35"/>
    <w:rsid w:val="00787210"/>
    <w:rsid w:val="007A25CD"/>
    <w:rsid w:val="007A4EB7"/>
    <w:rsid w:val="007D1CB2"/>
    <w:rsid w:val="007D2E50"/>
    <w:rsid w:val="007E340D"/>
    <w:rsid w:val="007E37C9"/>
    <w:rsid w:val="00804E73"/>
    <w:rsid w:val="00844E8C"/>
    <w:rsid w:val="008729F4"/>
    <w:rsid w:val="008732FC"/>
    <w:rsid w:val="00880116"/>
    <w:rsid w:val="008873B2"/>
    <w:rsid w:val="00887D50"/>
    <w:rsid w:val="00894519"/>
    <w:rsid w:val="008A29CB"/>
    <w:rsid w:val="008C39CF"/>
    <w:rsid w:val="008D3DBF"/>
    <w:rsid w:val="008D658B"/>
    <w:rsid w:val="008E5672"/>
    <w:rsid w:val="008F09C0"/>
    <w:rsid w:val="008F6425"/>
    <w:rsid w:val="0090461A"/>
    <w:rsid w:val="00905298"/>
    <w:rsid w:val="00907DF4"/>
    <w:rsid w:val="009154AA"/>
    <w:rsid w:val="0092200A"/>
    <w:rsid w:val="00924C8F"/>
    <w:rsid w:val="0093143E"/>
    <w:rsid w:val="009512F1"/>
    <w:rsid w:val="009514EC"/>
    <w:rsid w:val="009538FA"/>
    <w:rsid w:val="00955D32"/>
    <w:rsid w:val="00970425"/>
    <w:rsid w:val="00984415"/>
    <w:rsid w:val="009967FF"/>
    <w:rsid w:val="009A348D"/>
    <w:rsid w:val="009A485D"/>
    <w:rsid w:val="009A7E1D"/>
    <w:rsid w:val="009E368D"/>
    <w:rsid w:val="009F1430"/>
    <w:rsid w:val="009F60ED"/>
    <w:rsid w:val="00A12F15"/>
    <w:rsid w:val="00A61560"/>
    <w:rsid w:val="00A67DBF"/>
    <w:rsid w:val="00A9249F"/>
    <w:rsid w:val="00AA08B2"/>
    <w:rsid w:val="00AA1107"/>
    <w:rsid w:val="00AA2254"/>
    <w:rsid w:val="00AB24F9"/>
    <w:rsid w:val="00AC2DFA"/>
    <w:rsid w:val="00AD0502"/>
    <w:rsid w:val="00AD43A0"/>
    <w:rsid w:val="00AD5A08"/>
    <w:rsid w:val="00AE0D60"/>
    <w:rsid w:val="00B248F4"/>
    <w:rsid w:val="00B30436"/>
    <w:rsid w:val="00B30E4E"/>
    <w:rsid w:val="00B35108"/>
    <w:rsid w:val="00B41809"/>
    <w:rsid w:val="00B509FD"/>
    <w:rsid w:val="00B60BBF"/>
    <w:rsid w:val="00B65342"/>
    <w:rsid w:val="00B676FA"/>
    <w:rsid w:val="00B81F16"/>
    <w:rsid w:val="00B87CE0"/>
    <w:rsid w:val="00B917CF"/>
    <w:rsid w:val="00BA0586"/>
    <w:rsid w:val="00BA0EEA"/>
    <w:rsid w:val="00BC1CB1"/>
    <w:rsid w:val="00BC215D"/>
    <w:rsid w:val="00BC6701"/>
    <w:rsid w:val="00BD0995"/>
    <w:rsid w:val="00BE0CFB"/>
    <w:rsid w:val="00BF3CA1"/>
    <w:rsid w:val="00BF55D2"/>
    <w:rsid w:val="00C04E1C"/>
    <w:rsid w:val="00C07ABD"/>
    <w:rsid w:val="00C41BA8"/>
    <w:rsid w:val="00C423BA"/>
    <w:rsid w:val="00C44023"/>
    <w:rsid w:val="00C47013"/>
    <w:rsid w:val="00C52DD9"/>
    <w:rsid w:val="00C52FC0"/>
    <w:rsid w:val="00C6067E"/>
    <w:rsid w:val="00C606D4"/>
    <w:rsid w:val="00C6274E"/>
    <w:rsid w:val="00C63C5B"/>
    <w:rsid w:val="00CA61E1"/>
    <w:rsid w:val="00CA7661"/>
    <w:rsid w:val="00CB3AD1"/>
    <w:rsid w:val="00CE7F26"/>
    <w:rsid w:val="00D06370"/>
    <w:rsid w:val="00D06D56"/>
    <w:rsid w:val="00D17727"/>
    <w:rsid w:val="00D217A1"/>
    <w:rsid w:val="00D27DBF"/>
    <w:rsid w:val="00D4019A"/>
    <w:rsid w:val="00D46FA3"/>
    <w:rsid w:val="00D4786A"/>
    <w:rsid w:val="00D60419"/>
    <w:rsid w:val="00D622EC"/>
    <w:rsid w:val="00D64FF5"/>
    <w:rsid w:val="00D67A53"/>
    <w:rsid w:val="00D710C7"/>
    <w:rsid w:val="00D715AB"/>
    <w:rsid w:val="00D71B1C"/>
    <w:rsid w:val="00DA0AC0"/>
    <w:rsid w:val="00DB17AD"/>
    <w:rsid w:val="00DB237A"/>
    <w:rsid w:val="00DC2223"/>
    <w:rsid w:val="00DC3D3D"/>
    <w:rsid w:val="00DC4163"/>
    <w:rsid w:val="00DC69DF"/>
    <w:rsid w:val="00DD3364"/>
    <w:rsid w:val="00DD4538"/>
    <w:rsid w:val="00DD49D1"/>
    <w:rsid w:val="00DD7CD4"/>
    <w:rsid w:val="00DE5D8D"/>
    <w:rsid w:val="00DE7B6D"/>
    <w:rsid w:val="00DF0071"/>
    <w:rsid w:val="00E33A8C"/>
    <w:rsid w:val="00E42637"/>
    <w:rsid w:val="00E548EC"/>
    <w:rsid w:val="00E64BF3"/>
    <w:rsid w:val="00E65D5A"/>
    <w:rsid w:val="00E67D5D"/>
    <w:rsid w:val="00E75308"/>
    <w:rsid w:val="00E755A3"/>
    <w:rsid w:val="00E76B3C"/>
    <w:rsid w:val="00E834CA"/>
    <w:rsid w:val="00E8716F"/>
    <w:rsid w:val="00EB0418"/>
    <w:rsid w:val="00EB39E2"/>
    <w:rsid w:val="00EC1611"/>
    <w:rsid w:val="00EC7CDD"/>
    <w:rsid w:val="00EE76E9"/>
    <w:rsid w:val="00EF2556"/>
    <w:rsid w:val="00EF2F3C"/>
    <w:rsid w:val="00EF528A"/>
    <w:rsid w:val="00F1296B"/>
    <w:rsid w:val="00F15D0B"/>
    <w:rsid w:val="00F15E40"/>
    <w:rsid w:val="00F20A57"/>
    <w:rsid w:val="00F2794C"/>
    <w:rsid w:val="00F3075A"/>
    <w:rsid w:val="00F358B4"/>
    <w:rsid w:val="00F5113F"/>
    <w:rsid w:val="00F63F5C"/>
    <w:rsid w:val="00F679EF"/>
    <w:rsid w:val="00F83AC9"/>
    <w:rsid w:val="00FA28F7"/>
    <w:rsid w:val="00FA2B8C"/>
    <w:rsid w:val="00FA4EF7"/>
    <w:rsid w:val="00FB68DD"/>
    <w:rsid w:val="00FC3C2A"/>
    <w:rsid w:val="00FC6117"/>
    <w:rsid w:val="00FD0015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BBD51-D1EA-46C2-B1F7-90C22336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C52D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DD3364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A4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A4AA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A34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A348D"/>
    <w:rPr>
      <w:rFonts w:ascii="Times New Roman" w:eastAsia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494E5F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494E5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2">
    <w:name w:val="Normal (Web)"/>
    <w:aliases w:val="Обычный (веб) Знак"/>
    <w:basedOn w:val="a"/>
    <w:uiPriority w:val="99"/>
    <w:qFormat/>
    <w:rsid w:val="008945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1655-E0F5-4364-AD23-B6EBCF77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consultantplus://offline/main?base=RLAW301;n=39197;fld=134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2022-07-13T06:02:00Z</cp:lastPrinted>
  <dcterms:created xsi:type="dcterms:W3CDTF">2022-07-25T10:25:00Z</dcterms:created>
  <dcterms:modified xsi:type="dcterms:W3CDTF">2022-07-26T03:34:00Z</dcterms:modified>
</cp:coreProperties>
</file>